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1D" w:rsidRDefault="00DC5679" w:rsidP="00DC5679">
      <w:pPr>
        <w:spacing w:after="0"/>
        <w:jc w:val="center"/>
        <w:rPr>
          <w:rFonts w:ascii="Arial" w:hAnsi="Arial" w:cs="Arial"/>
          <w:b/>
          <w:sz w:val="24"/>
          <w:szCs w:val="24"/>
          <w:u w:val="single"/>
          <w:lang w:val="el-GR"/>
        </w:rPr>
      </w:pPr>
      <w:r>
        <w:rPr>
          <w:rFonts w:ascii="Arial" w:hAnsi="Arial" w:cs="Arial"/>
          <w:b/>
          <w:noProof/>
          <w:sz w:val="24"/>
          <w:szCs w:val="24"/>
          <w:u w:val="single"/>
          <w:lang w:val="el-GR" w:eastAsia="el-GR"/>
        </w:rPr>
        <w:drawing>
          <wp:inline distT="0" distB="0" distL="0" distR="0">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7725" cy="847725"/>
                    </a:xfrm>
                    <a:prstGeom prst="rect">
                      <a:avLst/>
                    </a:prstGeom>
                  </pic:spPr>
                </pic:pic>
              </a:graphicData>
            </a:graphic>
          </wp:inline>
        </w:drawing>
      </w:r>
    </w:p>
    <w:p w:rsidR="00DD1FC5" w:rsidRPr="00DC5679" w:rsidRDefault="00DC5679" w:rsidP="00DC5679">
      <w:pPr>
        <w:jc w:val="center"/>
        <w:rPr>
          <w:rFonts w:ascii="Arial" w:hAnsi="Arial" w:cs="Arial"/>
          <w:b/>
          <w:sz w:val="24"/>
          <w:szCs w:val="24"/>
          <w:lang w:val="el-GR"/>
        </w:rPr>
      </w:pPr>
      <w:r w:rsidRPr="00DC5679">
        <w:rPr>
          <w:rFonts w:ascii="Arial" w:hAnsi="Arial" w:cs="Arial"/>
          <w:b/>
          <w:sz w:val="24"/>
          <w:szCs w:val="24"/>
          <w:lang w:val="el-GR"/>
        </w:rPr>
        <w:t>Κυπριακή Δημοκρατία</w:t>
      </w:r>
    </w:p>
    <w:p w:rsidR="00DC5679" w:rsidRPr="00DC5679" w:rsidRDefault="00DC5679" w:rsidP="00EB768E">
      <w:pPr>
        <w:jc w:val="center"/>
        <w:rPr>
          <w:rFonts w:ascii="Arial" w:hAnsi="Arial" w:cs="Arial"/>
          <w:b/>
          <w:sz w:val="28"/>
          <w:szCs w:val="28"/>
          <w:lang w:val="el-GR"/>
        </w:rPr>
      </w:pPr>
      <w:r w:rsidRPr="00DC5679">
        <w:rPr>
          <w:rFonts w:ascii="Arial" w:hAnsi="Arial" w:cs="Arial"/>
          <w:b/>
          <w:sz w:val="28"/>
          <w:szCs w:val="28"/>
          <w:lang w:val="el-GR"/>
        </w:rPr>
        <w:t>Υπουργείο Εργασίας, Πρόνοιας και Κοινωνικών Ασφαλίσεων</w:t>
      </w:r>
    </w:p>
    <w:p w:rsidR="00DC5679" w:rsidRDefault="00DC5679" w:rsidP="0003551D">
      <w:pPr>
        <w:spacing w:after="0"/>
        <w:jc w:val="center"/>
        <w:rPr>
          <w:rFonts w:ascii="Arial" w:hAnsi="Arial" w:cs="Arial"/>
          <w:b/>
          <w:sz w:val="24"/>
          <w:szCs w:val="24"/>
          <w:u w:val="single"/>
          <w:lang w:val="el-GR"/>
        </w:rPr>
      </w:pPr>
    </w:p>
    <w:p w:rsidR="0003551D" w:rsidRDefault="00DC5679" w:rsidP="0003551D">
      <w:pPr>
        <w:spacing w:after="0"/>
        <w:jc w:val="center"/>
        <w:rPr>
          <w:rFonts w:ascii="Arial" w:hAnsi="Arial" w:cs="Arial"/>
          <w:b/>
          <w:sz w:val="24"/>
          <w:szCs w:val="24"/>
          <w:u w:val="single"/>
          <w:lang w:val="el-GR"/>
        </w:rPr>
      </w:pPr>
      <w:r>
        <w:rPr>
          <w:rFonts w:ascii="Arial" w:hAnsi="Arial" w:cs="Arial"/>
          <w:b/>
          <w:sz w:val="24"/>
          <w:szCs w:val="24"/>
          <w:u w:val="single"/>
          <w:lang w:val="el-GR"/>
        </w:rPr>
        <w:t>ΔΕΛΤΙΟ ΤΥΠΟΥ</w:t>
      </w:r>
    </w:p>
    <w:p w:rsidR="00EB768E" w:rsidRPr="0003551D" w:rsidRDefault="00F924B5" w:rsidP="00EB768E">
      <w:pPr>
        <w:jc w:val="center"/>
        <w:rPr>
          <w:rFonts w:ascii="Arial" w:hAnsi="Arial" w:cs="Arial"/>
          <w:b/>
          <w:sz w:val="24"/>
          <w:szCs w:val="24"/>
          <w:u w:val="single"/>
          <w:lang w:val="el-GR"/>
        </w:rPr>
      </w:pPr>
      <w:r w:rsidRPr="00DC5679">
        <w:rPr>
          <w:rFonts w:ascii="Arial" w:hAnsi="Arial" w:cs="Arial"/>
          <w:b/>
          <w:sz w:val="24"/>
          <w:szCs w:val="24"/>
          <w:u w:val="single"/>
          <w:lang w:val="el-GR"/>
        </w:rPr>
        <w:t>21</w:t>
      </w:r>
      <w:r w:rsidR="0003551D">
        <w:rPr>
          <w:rFonts w:ascii="Arial" w:hAnsi="Arial" w:cs="Arial"/>
          <w:b/>
          <w:sz w:val="24"/>
          <w:szCs w:val="24"/>
          <w:u w:val="single"/>
          <w:lang w:val="el-GR"/>
        </w:rPr>
        <w:t xml:space="preserve"> ΔΕΚΕΜΒΡΙΟΥ 2020</w:t>
      </w:r>
    </w:p>
    <w:p w:rsidR="0003551D" w:rsidRDefault="0003551D" w:rsidP="00EB768E">
      <w:pPr>
        <w:jc w:val="center"/>
        <w:rPr>
          <w:rFonts w:ascii="Arial" w:hAnsi="Arial" w:cs="Arial"/>
          <w:b/>
          <w:sz w:val="24"/>
          <w:szCs w:val="24"/>
          <w:u w:val="single"/>
          <w:lang w:val="el-GR"/>
        </w:rPr>
      </w:pPr>
      <w:r>
        <w:rPr>
          <w:rFonts w:ascii="Arial" w:hAnsi="Arial" w:cs="Arial"/>
          <w:b/>
          <w:sz w:val="24"/>
          <w:szCs w:val="24"/>
          <w:u w:val="single"/>
          <w:lang w:val="el-GR"/>
        </w:rPr>
        <w:t>Μέτρα Ενίσχυσης των Συνταξιούχων με Χαμηλά Εισοδήματα</w:t>
      </w:r>
      <w:r w:rsidR="00331661">
        <w:rPr>
          <w:rFonts w:ascii="Arial" w:hAnsi="Arial" w:cs="Arial"/>
          <w:b/>
          <w:sz w:val="24"/>
          <w:szCs w:val="24"/>
          <w:u w:val="single"/>
          <w:lang w:val="el-GR"/>
        </w:rPr>
        <w:t xml:space="preserve"> – Αύξηση Χαμηλών Συντάξεων</w:t>
      </w:r>
    </w:p>
    <w:p w:rsidR="00AF4654" w:rsidRDefault="00AF4654" w:rsidP="00EB768E">
      <w:pPr>
        <w:jc w:val="center"/>
        <w:rPr>
          <w:rFonts w:ascii="Arial" w:hAnsi="Arial" w:cs="Arial"/>
          <w:b/>
          <w:sz w:val="24"/>
          <w:szCs w:val="24"/>
          <w:u w:val="single"/>
          <w:lang w:val="el-GR"/>
        </w:rPr>
      </w:pPr>
    </w:p>
    <w:p w:rsidR="00F924B5" w:rsidRDefault="00F924B5"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Σήμερα είναι μια σημαντική ημέρα για τους Χαμηλοσυνταξιούχους οι οποίοι ζουν με εισοδήματα κάτω από το όριο της φτώχειας, για όλους τους συμπολίτες μας οι οποίοι λαμβάνουν την μικρή επιταγή, για όλες τις γυναίκες που λαμβάνουν την κοινωνική σύνταξη και έχουν ως μόνο τους εισόδημα την Κοινωνική Σύνταξη.</w:t>
      </w:r>
    </w:p>
    <w:p w:rsidR="00F924B5" w:rsidRDefault="00F924B5"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F924B5" w:rsidRDefault="00F924B5"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Με οδηγίες του Προέδρου της Κυπριακής Δημοκρατίας και σε συνεννόηση με τον Πρόεδρο του Δημοκρατικού Συναγερμού αλλά και με άλλες πολιτικές δυνάμεις, σήμερα γίνεται κατορθωτό να μην υπάρχει Χαμηλοσυνταξιούχος που τα συνολικά εισοδήματά του να είναι λιγότερα από 710 ευρώ μηνιαίως.</w:t>
      </w:r>
    </w:p>
    <w:p w:rsidR="00F924B5" w:rsidRDefault="00F924B5"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F924B5" w:rsidRDefault="00F924B5"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 xml:space="preserve">Πρέπει να </w:t>
      </w:r>
      <w:r w:rsidR="00C165D1">
        <w:rPr>
          <w:rFonts w:ascii="Arial" w:hAnsi="Arial" w:cs="Arial"/>
          <w:sz w:val="24"/>
          <w:szCs w:val="24"/>
          <w:lang w:val="el-GR"/>
        </w:rPr>
        <w:t>τονιστεί</w:t>
      </w:r>
      <w:r>
        <w:rPr>
          <w:rFonts w:ascii="Arial" w:hAnsi="Arial" w:cs="Arial"/>
          <w:sz w:val="24"/>
          <w:szCs w:val="24"/>
          <w:lang w:val="el-GR"/>
        </w:rPr>
        <w:t xml:space="preserve"> ότι ήδη από την παρούσα Κυβέρνηση έχουν δοθεί δύο διαδοχικές αυξήσεις, με αποτέλεσμα τ</w:t>
      </w:r>
      <w:r w:rsidR="00CC720F">
        <w:rPr>
          <w:rFonts w:ascii="Arial" w:hAnsi="Arial" w:cs="Arial"/>
          <w:sz w:val="24"/>
          <w:szCs w:val="24"/>
          <w:lang w:val="el-GR"/>
        </w:rPr>
        <w:t>ο επίδομα</w:t>
      </w:r>
      <w:r>
        <w:rPr>
          <w:rFonts w:ascii="Arial" w:hAnsi="Arial" w:cs="Arial"/>
          <w:sz w:val="24"/>
          <w:szCs w:val="24"/>
          <w:lang w:val="el-GR"/>
        </w:rPr>
        <w:t xml:space="preserve"> 75 ως 150 ευρώ που ίσχυ</w:t>
      </w:r>
      <w:r w:rsidR="00CC720F">
        <w:rPr>
          <w:rFonts w:ascii="Arial" w:hAnsi="Arial" w:cs="Arial"/>
          <w:sz w:val="24"/>
          <w:szCs w:val="24"/>
          <w:lang w:val="el-GR"/>
        </w:rPr>
        <w:t>ε</w:t>
      </w:r>
      <w:r>
        <w:rPr>
          <w:rFonts w:ascii="Arial" w:hAnsi="Arial" w:cs="Arial"/>
          <w:sz w:val="24"/>
          <w:szCs w:val="24"/>
          <w:lang w:val="el-GR"/>
        </w:rPr>
        <w:t xml:space="preserve"> το 2013 να αυξηθ</w:t>
      </w:r>
      <w:r w:rsidR="00CC720F">
        <w:rPr>
          <w:rFonts w:ascii="Arial" w:hAnsi="Arial" w:cs="Arial"/>
          <w:sz w:val="24"/>
          <w:szCs w:val="24"/>
          <w:lang w:val="el-GR"/>
        </w:rPr>
        <w:t>εί</w:t>
      </w:r>
      <w:r>
        <w:rPr>
          <w:rFonts w:ascii="Arial" w:hAnsi="Arial" w:cs="Arial"/>
          <w:sz w:val="24"/>
          <w:szCs w:val="24"/>
          <w:lang w:val="el-GR"/>
        </w:rPr>
        <w:t xml:space="preserve"> στα 130 ως 220 ευρώ ανά χαμηλοσυνταξιούχο ανά μήνα. Σήμερα, δίνεται επιπρόσθετη αύξηση έτσι ώστε έμπρακτα η Κυβέρνηση αποδεικνύει τον σεβασμό της αλλά και τη στήριξη της στην Τρίτη ηλικία, στους συμπολίτες μας οι οποίοι ζουν κάτω από το όριο της φτώχειας όπως έχει διαμορφωθεί σήμερα για ένα πρόσωπο στα 710 ευρώ εισόδημα τον μήνα. Με τις νέες αυ</w:t>
      </w:r>
      <w:r w:rsidR="00A757D2">
        <w:rPr>
          <w:rFonts w:ascii="Arial" w:hAnsi="Arial" w:cs="Arial"/>
          <w:sz w:val="24"/>
          <w:szCs w:val="24"/>
          <w:lang w:val="el-GR"/>
        </w:rPr>
        <w:t xml:space="preserve">ξήσεις θα επωφεληθούν περίπου </w:t>
      </w:r>
      <w:r w:rsidR="00A757D2" w:rsidRPr="00A757D2">
        <w:rPr>
          <w:rFonts w:ascii="Arial" w:hAnsi="Arial" w:cs="Arial"/>
          <w:sz w:val="24"/>
          <w:szCs w:val="24"/>
          <w:lang w:val="el-GR"/>
        </w:rPr>
        <w:t>30</w:t>
      </w:r>
      <w:r>
        <w:rPr>
          <w:rFonts w:ascii="Arial" w:hAnsi="Arial" w:cs="Arial"/>
          <w:sz w:val="24"/>
          <w:szCs w:val="24"/>
          <w:lang w:val="el-GR"/>
        </w:rPr>
        <w:t xml:space="preserve">.000 Χαμηλοσυνταξιούχοι και οι αυξήσεις </w:t>
      </w:r>
      <w:r w:rsidR="004257A6">
        <w:rPr>
          <w:rFonts w:ascii="Arial" w:hAnsi="Arial" w:cs="Arial"/>
          <w:sz w:val="24"/>
          <w:szCs w:val="24"/>
          <w:lang w:val="el-GR"/>
        </w:rPr>
        <w:t>κυμαίνονται από 149 μέχρι 21 ευρώ για ένα Χαμηλοσυνταξιούχο και από 130 μέχρι 40 ευρώ για ζεύγος Χαμηλοσυνταξιούχων</w:t>
      </w:r>
      <w:r w:rsidR="00DC5679">
        <w:rPr>
          <w:rFonts w:ascii="Arial" w:hAnsi="Arial" w:cs="Arial"/>
          <w:sz w:val="24"/>
          <w:szCs w:val="24"/>
          <w:lang w:val="el-GR"/>
        </w:rPr>
        <w:t>, ανάλογα με το ύψος των εισοδημάτων τους.</w:t>
      </w:r>
    </w:p>
    <w:p w:rsidR="004257A6" w:rsidRDefault="004257A6"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331661" w:rsidRDefault="004257A6"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Οι αυξήσεις που έχουν εγκριθεί από το Υπουργικό Συμβούλιο θα καταβληθούν αναδρομικά από τον Ιανουάριο 2020 και για όλο το 2020 και σήμερα θα βρίσκονται στους λογαριασμούς των δικαι</w:t>
      </w:r>
      <w:r w:rsidR="00A757D2">
        <w:rPr>
          <w:rFonts w:ascii="Arial" w:hAnsi="Arial" w:cs="Arial"/>
          <w:sz w:val="24"/>
          <w:szCs w:val="24"/>
          <w:lang w:val="el-GR"/>
        </w:rPr>
        <w:t xml:space="preserve">ούχων. Θα επωφεληθούν περίπου </w:t>
      </w:r>
      <w:r w:rsidR="00A757D2" w:rsidRPr="00A757D2">
        <w:rPr>
          <w:rFonts w:ascii="Arial" w:hAnsi="Arial" w:cs="Arial"/>
          <w:sz w:val="24"/>
          <w:szCs w:val="24"/>
          <w:lang w:val="el-GR"/>
        </w:rPr>
        <w:t>30</w:t>
      </w:r>
      <w:r>
        <w:rPr>
          <w:rFonts w:ascii="Arial" w:hAnsi="Arial" w:cs="Arial"/>
          <w:sz w:val="24"/>
          <w:szCs w:val="24"/>
          <w:lang w:val="el-GR"/>
        </w:rPr>
        <w:t xml:space="preserve">.000 Χαμηλοσυνταξιούχοι οι οποίοι είναι δικαιούχοι του Σχεδίου Χαμηλοσυνταξιούχων και η συνολική επιπρόσθετη δαπάνη για το 2020 ανέρχεται περίπου στα 19 εκατομμύρια ευρώ, δαπάνη που ήδη </w:t>
      </w:r>
      <w:r w:rsidR="00DC5679">
        <w:rPr>
          <w:rFonts w:ascii="Arial" w:hAnsi="Arial" w:cs="Arial"/>
          <w:sz w:val="24"/>
          <w:szCs w:val="24"/>
          <w:lang w:val="el-GR"/>
        </w:rPr>
        <w:t>περιλαμβάνεται</w:t>
      </w:r>
      <w:r>
        <w:rPr>
          <w:rFonts w:ascii="Arial" w:hAnsi="Arial" w:cs="Arial"/>
          <w:sz w:val="24"/>
          <w:szCs w:val="24"/>
          <w:lang w:val="el-GR"/>
        </w:rPr>
        <w:t xml:space="preserve"> στον προϋπολογισμό του Υπουργείου Εργασίας, Πρόνοιας και Κοινωνικών Ασφαλίσεων.</w:t>
      </w:r>
      <w:r w:rsidR="00331661">
        <w:rPr>
          <w:rFonts w:ascii="Arial" w:hAnsi="Arial" w:cs="Arial"/>
          <w:sz w:val="24"/>
          <w:szCs w:val="24"/>
          <w:lang w:val="el-GR"/>
        </w:rPr>
        <w:t xml:space="preserve"> </w:t>
      </w:r>
      <w:r w:rsidR="00DC5679">
        <w:rPr>
          <w:rFonts w:ascii="Arial" w:hAnsi="Arial" w:cs="Arial"/>
          <w:sz w:val="24"/>
          <w:szCs w:val="24"/>
          <w:lang w:val="el-GR"/>
        </w:rPr>
        <w:t>Τονίζεται</w:t>
      </w:r>
      <w:r w:rsidR="00331661">
        <w:rPr>
          <w:rFonts w:ascii="Arial" w:hAnsi="Arial" w:cs="Arial"/>
          <w:sz w:val="24"/>
          <w:szCs w:val="24"/>
          <w:lang w:val="el-GR"/>
        </w:rPr>
        <w:t xml:space="preserve"> ότι </w:t>
      </w:r>
      <w:r>
        <w:rPr>
          <w:rFonts w:ascii="Arial" w:hAnsi="Arial" w:cs="Arial"/>
          <w:sz w:val="24"/>
          <w:szCs w:val="24"/>
          <w:lang w:val="el-GR"/>
        </w:rPr>
        <w:t xml:space="preserve">κατά την προηγούμενη βδομάδα </w:t>
      </w:r>
      <w:r w:rsidR="00331661">
        <w:rPr>
          <w:rFonts w:ascii="Arial" w:hAnsi="Arial" w:cs="Arial"/>
          <w:sz w:val="24"/>
          <w:szCs w:val="24"/>
          <w:lang w:val="el-GR"/>
        </w:rPr>
        <w:t>έχουν ήδη καταβληθεί η σύνταξη του Δεκεμβρίου</w:t>
      </w:r>
      <w:r w:rsidR="006E1289">
        <w:rPr>
          <w:rFonts w:ascii="Arial" w:hAnsi="Arial" w:cs="Arial"/>
          <w:sz w:val="24"/>
          <w:szCs w:val="24"/>
          <w:lang w:val="el-GR"/>
        </w:rPr>
        <w:t xml:space="preserve"> 2020</w:t>
      </w:r>
      <w:r w:rsidR="00331661">
        <w:rPr>
          <w:rFonts w:ascii="Arial" w:hAnsi="Arial" w:cs="Arial"/>
          <w:sz w:val="24"/>
          <w:szCs w:val="24"/>
          <w:lang w:val="el-GR"/>
        </w:rPr>
        <w:t>, η 13</w:t>
      </w:r>
      <w:r w:rsidR="00331661" w:rsidRPr="00331661">
        <w:rPr>
          <w:rFonts w:ascii="Arial" w:hAnsi="Arial" w:cs="Arial"/>
          <w:sz w:val="24"/>
          <w:szCs w:val="24"/>
          <w:vertAlign w:val="superscript"/>
          <w:lang w:val="el-GR"/>
        </w:rPr>
        <w:t>η</w:t>
      </w:r>
      <w:r w:rsidR="00331661">
        <w:rPr>
          <w:rFonts w:ascii="Arial" w:hAnsi="Arial" w:cs="Arial"/>
          <w:sz w:val="24"/>
          <w:szCs w:val="24"/>
          <w:lang w:val="el-GR"/>
        </w:rPr>
        <w:t xml:space="preserve"> Σύνταξη, το Επίδομα Χαμηλοσυνταξιούχου του Δεκεμβρίου και το Χριστουγεννιάτικο Δώρο, σε όλους τους δικαιούχους</w:t>
      </w:r>
      <w:r>
        <w:rPr>
          <w:rFonts w:ascii="Arial" w:hAnsi="Arial" w:cs="Arial"/>
          <w:sz w:val="24"/>
          <w:szCs w:val="24"/>
          <w:lang w:val="el-GR"/>
        </w:rPr>
        <w:t xml:space="preserve"> του Σχεδίου Χαμηλοσυνταξιούχων, σύμφωνα με τον προγραμματισμό του Υπουργείου που έχει ανακοινωθεί.</w:t>
      </w:r>
    </w:p>
    <w:p w:rsidR="002420F1" w:rsidRDefault="002420F1"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B80748" w:rsidRDefault="004257A6"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 xml:space="preserve">Η πολιτική που εφαρμόζεται σήμερα </w:t>
      </w:r>
      <w:r w:rsidR="00B80748">
        <w:rPr>
          <w:rFonts w:ascii="Arial" w:hAnsi="Arial" w:cs="Arial"/>
          <w:sz w:val="24"/>
          <w:szCs w:val="24"/>
          <w:lang w:val="el-GR"/>
        </w:rPr>
        <w:t>είναι μία πολύ σημαντική πολιτική της Κυβέρνησης η οποία εντάσσεται στο ευρύτερο πλαίσιο της αναθεώρησης του συνταξιοδοτικού συστήματος της χώρας μας, ζήτημα για το οποίο διεξάγεται μελέτη και εντός του 2021 θα τεθεί προς συζήτηση με τους κοινωνικούς εταίρους και την κοινωνία γενικότερα.</w:t>
      </w:r>
    </w:p>
    <w:p w:rsidR="00AF4654" w:rsidRDefault="00331661"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r>
    </w:p>
    <w:p w:rsidR="00AF4654" w:rsidRDefault="00AF4654"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 xml:space="preserve">Πιστεύουμε ότι εφαρμόζοντας </w:t>
      </w:r>
      <w:r w:rsidR="00B80748">
        <w:rPr>
          <w:rFonts w:ascii="Arial" w:hAnsi="Arial" w:cs="Arial"/>
          <w:sz w:val="24"/>
          <w:szCs w:val="24"/>
          <w:lang w:val="el-GR"/>
        </w:rPr>
        <w:t xml:space="preserve">τις πολιτικές αυτές βελτιώνουμε σημαντικά το βιοτικό επίπεδο των συνταξιούχων με χαμηλά εισοδήματα, σε συνάρτηση με μεγάλη σειρά άλλων πολιτικών που ήδη έχουν εφαρμοστεί, όπως για παράδειγμα το Σχέδιο Επιχορηγημένων Διακοπών σε </w:t>
      </w:r>
      <w:r w:rsidR="00747376">
        <w:rPr>
          <w:rFonts w:ascii="Arial" w:hAnsi="Arial" w:cs="Arial"/>
          <w:sz w:val="24"/>
          <w:szCs w:val="24"/>
          <w:lang w:val="el-GR"/>
        </w:rPr>
        <w:t>Ο</w:t>
      </w:r>
      <w:r w:rsidR="00B80748">
        <w:rPr>
          <w:rFonts w:ascii="Arial" w:hAnsi="Arial" w:cs="Arial"/>
          <w:sz w:val="24"/>
          <w:szCs w:val="24"/>
          <w:lang w:val="el-GR"/>
        </w:rPr>
        <w:t xml:space="preserve">ρεινά </w:t>
      </w:r>
      <w:r w:rsidR="00747376">
        <w:rPr>
          <w:rFonts w:ascii="Arial" w:hAnsi="Arial" w:cs="Arial"/>
          <w:sz w:val="24"/>
          <w:szCs w:val="24"/>
          <w:lang w:val="el-GR"/>
        </w:rPr>
        <w:t>Θ</w:t>
      </w:r>
      <w:r w:rsidR="00B80748">
        <w:rPr>
          <w:rFonts w:ascii="Arial" w:hAnsi="Arial" w:cs="Arial"/>
          <w:sz w:val="24"/>
          <w:szCs w:val="24"/>
          <w:lang w:val="el-GR"/>
        </w:rPr>
        <w:t>έρετρα</w:t>
      </w:r>
      <w:r w:rsidR="006E1289">
        <w:rPr>
          <w:rFonts w:ascii="Arial" w:hAnsi="Arial" w:cs="Arial"/>
          <w:sz w:val="24"/>
          <w:szCs w:val="24"/>
          <w:lang w:val="el-GR"/>
        </w:rPr>
        <w:t xml:space="preserve">, την παροχή του Χριστουγεννιάτικου και Πασχαλινού Δώρου, την παροχή ή και επιδότηση </w:t>
      </w:r>
      <w:r w:rsidR="00747376">
        <w:rPr>
          <w:rFonts w:ascii="Arial" w:hAnsi="Arial" w:cs="Arial"/>
          <w:sz w:val="24"/>
          <w:szCs w:val="24"/>
          <w:lang w:val="el-GR"/>
        </w:rPr>
        <w:t>Υ</w:t>
      </w:r>
      <w:r w:rsidR="006E1289">
        <w:rPr>
          <w:rFonts w:ascii="Arial" w:hAnsi="Arial" w:cs="Arial"/>
          <w:sz w:val="24"/>
          <w:szCs w:val="24"/>
          <w:lang w:val="el-GR"/>
        </w:rPr>
        <w:t xml:space="preserve">πηρεσιών </w:t>
      </w:r>
      <w:r w:rsidR="00747376">
        <w:rPr>
          <w:rFonts w:ascii="Arial" w:hAnsi="Arial" w:cs="Arial"/>
          <w:sz w:val="24"/>
          <w:szCs w:val="24"/>
          <w:lang w:val="el-GR"/>
        </w:rPr>
        <w:t>Φ</w:t>
      </w:r>
      <w:r w:rsidR="006E1289">
        <w:rPr>
          <w:rFonts w:ascii="Arial" w:hAnsi="Arial" w:cs="Arial"/>
          <w:sz w:val="24"/>
          <w:szCs w:val="24"/>
          <w:lang w:val="el-GR"/>
        </w:rPr>
        <w:t xml:space="preserve">ροντίδας μέσω του Ελάχιστου Εγγυημένου Εισοδήματος, τη δωρεάν διακίνηση με τις δημόσιες συγκοινωνίες και άλλες παρόμοιες πολιτικές που έχουμε </w:t>
      </w:r>
      <w:r w:rsidR="00747376">
        <w:rPr>
          <w:rFonts w:ascii="Arial" w:hAnsi="Arial" w:cs="Arial"/>
          <w:sz w:val="24"/>
          <w:szCs w:val="24"/>
          <w:lang w:val="el-GR"/>
        </w:rPr>
        <w:t xml:space="preserve">μέχρι σήμερα </w:t>
      </w:r>
      <w:r w:rsidR="006E1289">
        <w:rPr>
          <w:rFonts w:ascii="Arial" w:hAnsi="Arial" w:cs="Arial"/>
          <w:sz w:val="24"/>
          <w:szCs w:val="24"/>
          <w:lang w:val="el-GR"/>
        </w:rPr>
        <w:t>εφαρμόσει.</w:t>
      </w:r>
    </w:p>
    <w:p w:rsidR="00747376" w:rsidRDefault="00747376"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DB6AC3" w:rsidRDefault="00DB6AC3"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DB6AC3" w:rsidRDefault="00DB6AC3"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Ακολουθούν παραδείγματα για τις αυξήσεις που έχουν υλοποιηθεί ως σήμερα καθώς και για τη σημερινή αύξηση:</w:t>
      </w:r>
    </w:p>
    <w:p w:rsidR="00DB6AC3" w:rsidRDefault="00DB6AC3"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DB6AC3" w:rsidRDefault="00DB6AC3">
      <w:pPr>
        <w:rPr>
          <w:b/>
          <w:bCs/>
          <w:sz w:val="24"/>
          <w:szCs w:val="24"/>
          <w:u w:val="single"/>
          <w:lang w:val="el-GR"/>
        </w:rPr>
      </w:pPr>
      <w:r>
        <w:rPr>
          <w:b/>
          <w:bCs/>
          <w:sz w:val="24"/>
          <w:szCs w:val="24"/>
          <w:u w:val="single"/>
          <w:lang w:val="el-GR"/>
        </w:rPr>
        <w:br w:type="page"/>
      </w:r>
    </w:p>
    <w:p w:rsidR="00DB6AC3" w:rsidRPr="00DB6AC3" w:rsidRDefault="00DB6AC3" w:rsidP="00DB6AC3">
      <w:pPr>
        <w:jc w:val="center"/>
        <w:rPr>
          <w:b/>
          <w:bCs/>
          <w:sz w:val="24"/>
          <w:szCs w:val="24"/>
          <w:u w:val="single"/>
          <w:lang w:val="el-GR"/>
        </w:rPr>
      </w:pPr>
      <w:r w:rsidRPr="00DB6AC3">
        <w:rPr>
          <w:b/>
          <w:bCs/>
          <w:sz w:val="24"/>
          <w:szCs w:val="24"/>
          <w:u w:val="single"/>
          <w:lang w:val="el-GR"/>
        </w:rPr>
        <w:lastRenderedPageBreak/>
        <w:t>Αυξήσεις Επιδόματος Χαμηλοσυνταξιούχου 2016-2020</w:t>
      </w:r>
    </w:p>
    <w:p w:rsidR="00DB6AC3" w:rsidRPr="00DB6AC3" w:rsidRDefault="00DB6AC3" w:rsidP="00DB6AC3">
      <w:pPr>
        <w:spacing w:after="0"/>
        <w:jc w:val="center"/>
        <w:rPr>
          <w:b/>
          <w:bCs/>
          <w:u w:val="single"/>
          <w:lang w:val="el-GR"/>
        </w:rPr>
      </w:pPr>
      <w:r w:rsidRPr="00DB6AC3">
        <w:rPr>
          <w:b/>
          <w:bCs/>
          <w:u w:val="single"/>
          <w:lang w:val="el-GR"/>
        </w:rPr>
        <w:t xml:space="preserve">Μονήρες Νοικοκυριό (όριο φτώχειας 2020 = </w:t>
      </w:r>
      <w:r w:rsidRPr="00DB6AC3">
        <w:rPr>
          <w:rFonts w:cstheme="minorHAnsi"/>
          <w:b/>
          <w:bCs/>
          <w:u w:val="single"/>
          <w:lang w:val="el-GR"/>
        </w:rPr>
        <w:t>€710)</w:t>
      </w:r>
    </w:p>
    <w:tbl>
      <w:tblPr>
        <w:tblStyle w:val="TableGrid"/>
        <w:tblW w:w="9776" w:type="dxa"/>
        <w:jc w:val="center"/>
        <w:tblLook w:val="04A0"/>
      </w:tblPr>
      <w:tblGrid>
        <w:gridCol w:w="1545"/>
        <w:gridCol w:w="1137"/>
        <w:gridCol w:w="1267"/>
        <w:gridCol w:w="981"/>
        <w:gridCol w:w="1066"/>
        <w:gridCol w:w="2061"/>
        <w:gridCol w:w="1719"/>
      </w:tblGrid>
      <w:tr w:rsidR="00DB6AC3" w:rsidRPr="00283852" w:rsidTr="00DB6AC3">
        <w:trPr>
          <w:jc w:val="center"/>
        </w:trPr>
        <w:tc>
          <w:tcPr>
            <w:tcW w:w="1545" w:type="dxa"/>
            <w:shd w:val="clear" w:color="auto" w:fill="FFFF00"/>
          </w:tcPr>
          <w:p w:rsidR="00DB6AC3" w:rsidRDefault="00DB6AC3" w:rsidP="00C50F1D">
            <w:pPr>
              <w:jc w:val="center"/>
              <w:rPr>
                <w:b/>
                <w:bCs/>
              </w:rPr>
            </w:pPr>
            <w:r>
              <w:rPr>
                <w:b/>
                <w:bCs/>
              </w:rPr>
              <w:t xml:space="preserve">Αρχικό </w:t>
            </w:r>
            <w:r w:rsidRPr="00283852">
              <w:rPr>
                <w:b/>
                <w:bCs/>
              </w:rPr>
              <w:t>Ύψος Σύνταξης και εισοδημάτων</w:t>
            </w:r>
          </w:p>
          <w:p w:rsidR="00DB6AC3" w:rsidRPr="00283852" w:rsidRDefault="00DB6AC3" w:rsidP="00C50F1D">
            <w:pPr>
              <w:jc w:val="center"/>
              <w:rPr>
                <w:b/>
                <w:bCs/>
              </w:rPr>
            </w:pPr>
            <w:r w:rsidRPr="00283852">
              <w:rPr>
                <w:rFonts w:cstheme="minorHAnsi"/>
                <w:b/>
                <w:bCs/>
              </w:rPr>
              <w:t>€</w:t>
            </w:r>
          </w:p>
        </w:tc>
        <w:tc>
          <w:tcPr>
            <w:tcW w:w="1139" w:type="dxa"/>
            <w:shd w:val="clear" w:color="auto" w:fill="DBE5F1" w:themeFill="accent1" w:themeFillTint="33"/>
          </w:tcPr>
          <w:p w:rsidR="00DB6AC3" w:rsidRPr="00B2038C" w:rsidRDefault="00DB6AC3" w:rsidP="00C50F1D">
            <w:pPr>
              <w:jc w:val="center"/>
              <w:rPr>
                <w:b/>
                <w:bCs/>
                <w:sz w:val="20"/>
                <w:szCs w:val="20"/>
              </w:rPr>
            </w:pPr>
            <w:r w:rsidRPr="00B2038C">
              <w:rPr>
                <w:b/>
                <w:bCs/>
                <w:sz w:val="20"/>
                <w:szCs w:val="20"/>
              </w:rPr>
              <w:t>Επίδομα μέχρι 2016</w:t>
            </w:r>
          </w:p>
          <w:p w:rsidR="00DB6AC3" w:rsidRPr="00B2038C" w:rsidRDefault="00DB6AC3" w:rsidP="00C50F1D">
            <w:pPr>
              <w:jc w:val="center"/>
              <w:rPr>
                <w:b/>
                <w:bCs/>
                <w:sz w:val="20"/>
                <w:szCs w:val="20"/>
              </w:rPr>
            </w:pPr>
          </w:p>
          <w:p w:rsidR="00DB6AC3" w:rsidRPr="00B2038C" w:rsidRDefault="00DB6AC3" w:rsidP="00C50F1D">
            <w:pPr>
              <w:jc w:val="center"/>
              <w:rPr>
                <w:b/>
                <w:bCs/>
                <w:sz w:val="20"/>
                <w:szCs w:val="20"/>
              </w:rPr>
            </w:pPr>
            <w:r w:rsidRPr="00B2038C">
              <w:rPr>
                <w:rFonts w:cstheme="minorHAnsi"/>
                <w:b/>
                <w:bCs/>
                <w:sz w:val="20"/>
                <w:szCs w:val="20"/>
              </w:rPr>
              <w:t>€</w:t>
            </w:r>
          </w:p>
        </w:tc>
        <w:tc>
          <w:tcPr>
            <w:tcW w:w="1270" w:type="dxa"/>
            <w:shd w:val="clear" w:color="auto" w:fill="B8CCE4" w:themeFill="accent1" w:themeFillTint="66"/>
          </w:tcPr>
          <w:p w:rsidR="00DB6AC3" w:rsidRDefault="00DB6AC3" w:rsidP="00C50F1D">
            <w:pPr>
              <w:jc w:val="center"/>
              <w:rPr>
                <w:b/>
                <w:bCs/>
                <w:sz w:val="20"/>
                <w:szCs w:val="20"/>
              </w:rPr>
            </w:pPr>
            <w:r w:rsidRPr="00B2038C">
              <w:rPr>
                <w:b/>
                <w:bCs/>
                <w:sz w:val="20"/>
                <w:szCs w:val="20"/>
              </w:rPr>
              <w:t>Επίδομα με τις 2 πρώτες αυξήσεις</w:t>
            </w:r>
          </w:p>
          <w:p w:rsidR="00DB6AC3" w:rsidRPr="00B2038C" w:rsidRDefault="00DB6AC3" w:rsidP="00C50F1D">
            <w:pPr>
              <w:jc w:val="center"/>
              <w:rPr>
                <w:b/>
                <w:bCs/>
                <w:sz w:val="20"/>
                <w:szCs w:val="20"/>
              </w:rPr>
            </w:pPr>
            <w:r w:rsidRPr="00B2038C">
              <w:rPr>
                <w:rFonts w:cstheme="minorHAnsi"/>
                <w:b/>
                <w:bCs/>
                <w:sz w:val="20"/>
                <w:szCs w:val="20"/>
              </w:rPr>
              <w:t>€</w:t>
            </w:r>
          </w:p>
        </w:tc>
        <w:tc>
          <w:tcPr>
            <w:tcW w:w="2054" w:type="dxa"/>
            <w:gridSpan w:val="2"/>
            <w:shd w:val="clear" w:color="auto" w:fill="95B3D7" w:themeFill="accent1" w:themeFillTint="99"/>
          </w:tcPr>
          <w:p w:rsidR="00DB6AC3" w:rsidRDefault="00DB6AC3" w:rsidP="00C50F1D">
            <w:pPr>
              <w:jc w:val="center"/>
              <w:rPr>
                <w:b/>
                <w:bCs/>
              </w:rPr>
            </w:pPr>
            <w:r w:rsidRPr="00283852">
              <w:rPr>
                <w:b/>
                <w:bCs/>
              </w:rPr>
              <w:t>Επίδομα μετά την αύξηση του 2020</w:t>
            </w:r>
          </w:p>
          <w:p w:rsidR="00DB6AC3" w:rsidRPr="00283852" w:rsidRDefault="00DB6AC3" w:rsidP="00C50F1D">
            <w:pPr>
              <w:jc w:val="center"/>
              <w:rPr>
                <w:b/>
                <w:bCs/>
              </w:rPr>
            </w:pPr>
            <w:r w:rsidRPr="00283852">
              <w:rPr>
                <w:rFonts w:cstheme="minorHAnsi"/>
                <w:b/>
                <w:bCs/>
              </w:rPr>
              <w:t>€</w:t>
            </w:r>
          </w:p>
        </w:tc>
        <w:tc>
          <w:tcPr>
            <w:tcW w:w="2067" w:type="dxa"/>
            <w:shd w:val="clear" w:color="auto" w:fill="FFFF00"/>
          </w:tcPr>
          <w:p w:rsidR="00DB6AC3" w:rsidRDefault="00DB6AC3" w:rsidP="00C50F1D">
            <w:pPr>
              <w:jc w:val="center"/>
              <w:rPr>
                <w:b/>
                <w:bCs/>
              </w:rPr>
            </w:pPr>
            <w:r w:rsidRPr="00283852">
              <w:rPr>
                <w:b/>
                <w:bCs/>
              </w:rPr>
              <w:t>Ύψος Σύνταξης και εισοδημάτων μετά τις 3 αυξήσεις</w:t>
            </w:r>
          </w:p>
          <w:p w:rsidR="00DB6AC3" w:rsidRPr="00283852" w:rsidRDefault="00DB6AC3" w:rsidP="00C50F1D">
            <w:pPr>
              <w:jc w:val="center"/>
              <w:rPr>
                <w:b/>
                <w:bCs/>
              </w:rPr>
            </w:pPr>
            <w:r w:rsidRPr="00283852">
              <w:rPr>
                <w:rFonts w:cstheme="minorHAnsi"/>
                <w:b/>
                <w:bCs/>
              </w:rPr>
              <w:t>€</w:t>
            </w:r>
          </w:p>
        </w:tc>
        <w:tc>
          <w:tcPr>
            <w:tcW w:w="1701" w:type="dxa"/>
            <w:shd w:val="clear" w:color="auto" w:fill="FFFF00"/>
            <w:vAlign w:val="center"/>
          </w:tcPr>
          <w:p w:rsidR="00DB6AC3" w:rsidRPr="00283852" w:rsidRDefault="00DB6AC3" w:rsidP="00C50F1D">
            <w:pPr>
              <w:jc w:val="center"/>
              <w:rPr>
                <w:b/>
                <w:bCs/>
              </w:rPr>
            </w:pPr>
            <w:r>
              <w:rPr>
                <w:b/>
                <w:bCs/>
              </w:rPr>
              <w:t>Επωφελούμενοι</w:t>
            </w:r>
          </w:p>
          <w:p w:rsidR="00DB6AC3" w:rsidRPr="00283852" w:rsidRDefault="00DB6AC3" w:rsidP="00C50F1D">
            <w:pPr>
              <w:jc w:val="cente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34</w:t>
            </w:r>
            <w:r>
              <w:rPr>
                <w:b/>
                <w:bCs/>
              </w:rPr>
              <w:t>1</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150</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220</w:t>
            </w:r>
          </w:p>
        </w:tc>
        <w:tc>
          <w:tcPr>
            <w:tcW w:w="985" w:type="dxa"/>
            <w:tcBorders>
              <w:right w:val="nil"/>
            </w:tcBorders>
            <w:shd w:val="clear" w:color="auto" w:fill="95B3D7" w:themeFill="accent1" w:themeFillTint="99"/>
          </w:tcPr>
          <w:p w:rsidR="00DB6AC3" w:rsidRPr="00B2038C" w:rsidRDefault="00DB6AC3" w:rsidP="00C50F1D">
            <w:pPr>
              <w:rPr>
                <w:b/>
                <w:bCs/>
              </w:rPr>
            </w:pPr>
            <w:r w:rsidRPr="00B2038C">
              <w:rPr>
                <w:b/>
                <w:bCs/>
              </w:rPr>
              <w:t>369</w:t>
            </w:r>
            <w:r>
              <w:rPr>
                <w:b/>
                <w:bCs/>
              </w:rPr>
              <w:t xml:space="preserve"> </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(+149)</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710</w:t>
            </w:r>
          </w:p>
        </w:tc>
        <w:tc>
          <w:tcPr>
            <w:tcW w:w="1701" w:type="dxa"/>
            <w:vMerge w:val="restart"/>
            <w:shd w:val="clear" w:color="auto" w:fill="FFFF00"/>
            <w:vAlign w:val="center"/>
          </w:tcPr>
          <w:p w:rsidR="00DB6AC3" w:rsidRDefault="00DB6AC3" w:rsidP="00C50F1D">
            <w:pPr>
              <w:jc w:val="center"/>
              <w:rPr>
                <w:b/>
                <w:bCs/>
              </w:rPr>
            </w:pPr>
            <w:r>
              <w:rPr>
                <w:b/>
                <w:bCs/>
              </w:rPr>
              <w:t>14.000 πρόσωπα</w:t>
            </w: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360</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150</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220</w:t>
            </w:r>
          </w:p>
        </w:tc>
        <w:tc>
          <w:tcPr>
            <w:tcW w:w="985" w:type="dxa"/>
            <w:tcBorders>
              <w:right w:val="nil"/>
            </w:tcBorders>
            <w:shd w:val="clear" w:color="auto" w:fill="95B3D7" w:themeFill="accent1" w:themeFillTint="99"/>
          </w:tcPr>
          <w:p w:rsidR="00DB6AC3" w:rsidRPr="00B2038C" w:rsidRDefault="00DB6AC3" w:rsidP="00C50F1D">
            <w:pPr>
              <w:rPr>
                <w:b/>
                <w:bCs/>
              </w:rPr>
            </w:pPr>
            <w:r w:rsidRPr="00B2038C">
              <w:rPr>
                <w:b/>
                <w:bCs/>
              </w:rPr>
              <w:t>350</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(+130)</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710</w:t>
            </w:r>
          </w:p>
        </w:tc>
        <w:tc>
          <w:tcPr>
            <w:tcW w:w="1701" w:type="dxa"/>
            <w:vMerge/>
            <w:shd w:val="clear" w:color="auto" w:fill="FFFF00"/>
          </w:tcPr>
          <w:p w:rsidR="00DB6AC3" w:rsidRDefault="00DB6AC3" w:rsidP="00C50F1D">
            <w:pP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400</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141</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210</w:t>
            </w:r>
          </w:p>
        </w:tc>
        <w:tc>
          <w:tcPr>
            <w:tcW w:w="985" w:type="dxa"/>
            <w:tcBorders>
              <w:right w:val="nil"/>
            </w:tcBorders>
            <w:shd w:val="clear" w:color="auto" w:fill="95B3D7" w:themeFill="accent1" w:themeFillTint="99"/>
          </w:tcPr>
          <w:p w:rsidR="00DB6AC3" w:rsidRPr="00B2038C" w:rsidRDefault="00DB6AC3" w:rsidP="00C50F1D">
            <w:pPr>
              <w:rPr>
                <w:b/>
                <w:bCs/>
              </w:rPr>
            </w:pPr>
            <w:r w:rsidRPr="00B2038C">
              <w:rPr>
                <w:b/>
                <w:bCs/>
              </w:rPr>
              <w:t>310</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(+100)</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710</w:t>
            </w:r>
          </w:p>
        </w:tc>
        <w:tc>
          <w:tcPr>
            <w:tcW w:w="1701" w:type="dxa"/>
            <w:vMerge/>
            <w:shd w:val="clear" w:color="auto" w:fill="FFFF00"/>
          </w:tcPr>
          <w:p w:rsidR="00DB6AC3" w:rsidRDefault="00DB6AC3" w:rsidP="00C50F1D">
            <w:pP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450</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133</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200</w:t>
            </w:r>
          </w:p>
        </w:tc>
        <w:tc>
          <w:tcPr>
            <w:tcW w:w="985" w:type="dxa"/>
            <w:tcBorders>
              <w:right w:val="nil"/>
            </w:tcBorders>
            <w:shd w:val="clear" w:color="auto" w:fill="95B3D7" w:themeFill="accent1" w:themeFillTint="99"/>
          </w:tcPr>
          <w:p w:rsidR="00DB6AC3" w:rsidRPr="00B2038C" w:rsidRDefault="00DB6AC3" w:rsidP="00C50F1D">
            <w:pPr>
              <w:rPr>
                <w:b/>
                <w:bCs/>
              </w:rPr>
            </w:pPr>
            <w:r>
              <w:rPr>
                <w:b/>
                <w:bCs/>
              </w:rPr>
              <w:t>271</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(+71)</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721</w:t>
            </w:r>
          </w:p>
        </w:tc>
        <w:tc>
          <w:tcPr>
            <w:tcW w:w="1701" w:type="dxa"/>
            <w:vMerge/>
            <w:shd w:val="clear" w:color="auto" w:fill="FFFF00"/>
          </w:tcPr>
          <w:p w:rsidR="00DB6AC3" w:rsidRDefault="00DB6AC3" w:rsidP="00C50F1D">
            <w:pP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500</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125</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190</w:t>
            </w:r>
          </w:p>
        </w:tc>
        <w:tc>
          <w:tcPr>
            <w:tcW w:w="985" w:type="dxa"/>
            <w:tcBorders>
              <w:right w:val="nil"/>
            </w:tcBorders>
            <w:shd w:val="clear" w:color="auto" w:fill="95B3D7" w:themeFill="accent1" w:themeFillTint="99"/>
          </w:tcPr>
          <w:p w:rsidR="00DB6AC3" w:rsidRPr="00B2038C" w:rsidRDefault="00DB6AC3" w:rsidP="00C50F1D">
            <w:pPr>
              <w:rPr>
                <w:b/>
                <w:bCs/>
              </w:rPr>
            </w:pPr>
            <w:r>
              <w:rPr>
                <w:b/>
                <w:bCs/>
              </w:rPr>
              <w:t>244</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(+54)</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744</w:t>
            </w:r>
          </w:p>
        </w:tc>
        <w:tc>
          <w:tcPr>
            <w:tcW w:w="1701" w:type="dxa"/>
            <w:vMerge/>
            <w:shd w:val="clear" w:color="auto" w:fill="FFFF00"/>
          </w:tcPr>
          <w:p w:rsidR="00DB6AC3" w:rsidRDefault="00DB6AC3" w:rsidP="00C50F1D">
            <w:pP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550</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116</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180</w:t>
            </w:r>
          </w:p>
        </w:tc>
        <w:tc>
          <w:tcPr>
            <w:tcW w:w="985" w:type="dxa"/>
            <w:tcBorders>
              <w:right w:val="nil"/>
            </w:tcBorders>
            <w:shd w:val="clear" w:color="auto" w:fill="95B3D7" w:themeFill="accent1" w:themeFillTint="99"/>
          </w:tcPr>
          <w:p w:rsidR="00DB6AC3" w:rsidRPr="00B2038C" w:rsidRDefault="00DB6AC3" w:rsidP="00C50F1D">
            <w:pPr>
              <w:rPr>
                <w:b/>
                <w:bCs/>
              </w:rPr>
            </w:pPr>
            <w:r>
              <w:rPr>
                <w:b/>
                <w:bCs/>
              </w:rPr>
              <w:t>216</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(+36)</w:t>
            </w:r>
          </w:p>
        </w:tc>
        <w:tc>
          <w:tcPr>
            <w:tcW w:w="2067" w:type="dxa"/>
            <w:shd w:val="clear" w:color="auto" w:fill="FFFF00"/>
            <w:vAlign w:val="center"/>
          </w:tcPr>
          <w:p w:rsidR="00DB6AC3" w:rsidRPr="00DB6AC3" w:rsidRDefault="00DB6AC3" w:rsidP="00DB6AC3">
            <w:pPr>
              <w:jc w:val="center"/>
              <w:rPr>
                <w:b/>
                <w:bCs/>
                <w:sz w:val="24"/>
                <w:szCs w:val="24"/>
                <w:lang w:val="en-GB"/>
              </w:rPr>
            </w:pPr>
            <w:r w:rsidRPr="00DB6AC3">
              <w:rPr>
                <w:b/>
                <w:bCs/>
                <w:sz w:val="24"/>
                <w:szCs w:val="24"/>
              </w:rPr>
              <w:t>766</w:t>
            </w:r>
          </w:p>
        </w:tc>
        <w:tc>
          <w:tcPr>
            <w:tcW w:w="1701" w:type="dxa"/>
            <w:vMerge/>
            <w:shd w:val="clear" w:color="auto" w:fill="FFFF00"/>
          </w:tcPr>
          <w:p w:rsidR="00DB6AC3" w:rsidRDefault="00DB6AC3" w:rsidP="00C50F1D">
            <w:pP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600</w:t>
            </w:r>
          </w:p>
        </w:tc>
        <w:tc>
          <w:tcPr>
            <w:tcW w:w="1139" w:type="dxa"/>
            <w:shd w:val="clear" w:color="auto" w:fill="DBE5F1" w:themeFill="accent1" w:themeFillTint="33"/>
          </w:tcPr>
          <w:p w:rsidR="00DB6AC3" w:rsidRPr="00B2038C" w:rsidRDefault="00DB6AC3" w:rsidP="00C50F1D">
            <w:pPr>
              <w:rPr>
                <w:sz w:val="20"/>
                <w:szCs w:val="20"/>
              </w:rPr>
            </w:pPr>
            <w:r w:rsidRPr="00B2038C">
              <w:rPr>
                <w:sz w:val="20"/>
                <w:szCs w:val="20"/>
              </w:rPr>
              <w:t>100</w:t>
            </w:r>
          </w:p>
        </w:tc>
        <w:tc>
          <w:tcPr>
            <w:tcW w:w="1270" w:type="dxa"/>
            <w:shd w:val="clear" w:color="auto" w:fill="B8CCE4" w:themeFill="accent1" w:themeFillTint="66"/>
          </w:tcPr>
          <w:p w:rsidR="00DB6AC3" w:rsidRPr="00B2038C" w:rsidRDefault="00DB6AC3" w:rsidP="00C50F1D">
            <w:pPr>
              <w:rPr>
                <w:sz w:val="20"/>
                <w:szCs w:val="20"/>
              </w:rPr>
            </w:pPr>
            <w:r w:rsidRPr="00B2038C">
              <w:rPr>
                <w:sz w:val="20"/>
                <w:szCs w:val="20"/>
              </w:rPr>
              <w:t>160</w:t>
            </w:r>
          </w:p>
        </w:tc>
        <w:tc>
          <w:tcPr>
            <w:tcW w:w="985" w:type="dxa"/>
            <w:tcBorders>
              <w:right w:val="nil"/>
            </w:tcBorders>
            <w:shd w:val="clear" w:color="auto" w:fill="95B3D7" w:themeFill="accent1" w:themeFillTint="99"/>
          </w:tcPr>
          <w:p w:rsidR="00DB6AC3" w:rsidRPr="00B2038C" w:rsidRDefault="00DB6AC3" w:rsidP="00C50F1D">
            <w:pPr>
              <w:rPr>
                <w:b/>
                <w:bCs/>
              </w:rPr>
            </w:pPr>
            <w:r>
              <w:rPr>
                <w:b/>
                <w:bCs/>
              </w:rPr>
              <w:t>189</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(+29)</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789</w:t>
            </w:r>
          </w:p>
        </w:tc>
        <w:tc>
          <w:tcPr>
            <w:tcW w:w="1701" w:type="dxa"/>
            <w:vMerge/>
            <w:shd w:val="clear" w:color="auto" w:fill="FFFF00"/>
          </w:tcPr>
          <w:p w:rsidR="00DB6AC3" w:rsidRDefault="00DB6AC3" w:rsidP="00C50F1D">
            <w:pPr>
              <w:rPr>
                <w:b/>
                <w:bCs/>
              </w:rPr>
            </w:pPr>
          </w:p>
        </w:tc>
      </w:tr>
      <w:tr w:rsidR="00DB6AC3" w:rsidTr="00DB6AC3">
        <w:trPr>
          <w:jc w:val="center"/>
        </w:trPr>
        <w:tc>
          <w:tcPr>
            <w:tcW w:w="1545" w:type="dxa"/>
            <w:shd w:val="clear" w:color="auto" w:fill="FFFF00"/>
          </w:tcPr>
          <w:p w:rsidR="00DB6AC3" w:rsidRPr="00B2038C" w:rsidRDefault="00DB6AC3" w:rsidP="00C50F1D">
            <w:pPr>
              <w:rPr>
                <w:b/>
                <w:bCs/>
              </w:rPr>
            </w:pPr>
            <w:r w:rsidRPr="00B2038C">
              <w:rPr>
                <w:b/>
                <w:bCs/>
              </w:rPr>
              <w:t>650</w:t>
            </w:r>
            <w:r>
              <w:rPr>
                <w:b/>
                <w:bCs/>
              </w:rPr>
              <w:t>-750</w:t>
            </w:r>
          </w:p>
        </w:tc>
        <w:tc>
          <w:tcPr>
            <w:tcW w:w="1139" w:type="dxa"/>
            <w:shd w:val="clear" w:color="auto" w:fill="DBE5F1" w:themeFill="accent1" w:themeFillTint="33"/>
          </w:tcPr>
          <w:p w:rsidR="00DB6AC3" w:rsidRPr="00B2038C" w:rsidRDefault="00DB6AC3" w:rsidP="00C50F1D">
            <w:pPr>
              <w:rPr>
                <w:sz w:val="20"/>
                <w:szCs w:val="20"/>
              </w:rPr>
            </w:pPr>
            <w:r>
              <w:rPr>
                <w:sz w:val="20"/>
                <w:szCs w:val="20"/>
              </w:rPr>
              <w:t>44-</w:t>
            </w:r>
            <w:r w:rsidRPr="00B2038C">
              <w:rPr>
                <w:sz w:val="20"/>
                <w:szCs w:val="20"/>
              </w:rPr>
              <w:t>91</w:t>
            </w:r>
          </w:p>
        </w:tc>
        <w:tc>
          <w:tcPr>
            <w:tcW w:w="1270" w:type="dxa"/>
            <w:shd w:val="clear" w:color="auto" w:fill="B8CCE4" w:themeFill="accent1" w:themeFillTint="66"/>
          </w:tcPr>
          <w:p w:rsidR="00DB6AC3" w:rsidRPr="00B2038C" w:rsidRDefault="00DB6AC3" w:rsidP="00C50F1D">
            <w:pPr>
              <w:rPr>
                <w:sz w:val="20"/>
                <w:szCs w:val="20"/>
              </w:rPr>
            </w:pPr>
            <w:r>
              <w:rPr>
                <w:sz w:val="20"/>
                <w:szCs w:val="20"/>
              </w:rPr>
              <w:t>64-</w:t>
            </w:r>
            <w:r w:rsidRPr="00B2038C">
              <w:rPr>
                <w:sz w:val="20"/>
                <w:szCs w:val="20"/>
              </w:rPr>
              <w:t>140</w:t>
            </w:r>
          </w:p>
        </w:tc>
        <w:tc>
          <w:tcPr>
            <w:tcW w:w="985" w:type="dxa"/>
            <w:tcBorders>
              <w:right w:val="nil"/>
            </w:tcBorders>
            <w:shd w:val="clear" w:color="auto" w:fill="95B3D7" w:themeFill="accent1" w:themeFillTint="99"/>
          </w:tcPr>
          <w:p w:rsidR="00DB6AC3" w:rsidRPr="00B2038C" w:rsidRDefault="00DB6AC3" w:rsidP="00C50F1D">
            <w:pPr>
              <w:rPr>
                <w:b/>
                <w:bCs/>
              </w:rPr>
            </w:pPr>
            <w:r>
              <w:rPr>
                <w:b/>
                <w:bCs/>
              </w:rPr>
              <w:t>85-161</w:t>
            </w:r>
          </w:p>
        </w:tc>
        <w:tc>
          <w:tcPr>
            <w:tcW w:w="1069" w:type="dxa"/>
            <w:tcBorders>
              <w:left w:val="nil"/>
            </w:tcBorders>
            <w:shd w:val="clear" w:color="auto" w:fill="95B3D7" w:themeFill="accent1" w:themeFillTint="99"/>
          </w:tcPr>
          <w:p w:rsidR="00DB6AC3" w:rsidRPr="00B2038C" w:rsidRDefault="00DB6AC3" w:rsidP="00C50F1D">
            <w:pPr>
              <w:rPr>
                <w:b/>
                <w:bCs/>
              </w:rPr>
            </w:pPr>
            <w:r>
              <w:rPr>
                <w:b/>
                <w:bCs/>
              </w:rPr>
              <w:t>(μέχρι 21)</w:t>
            </w:r>
          </w:p>
        </w:tc>
        <w:tc>
          <w:tcPr>
            <w:tcW w:w="2067" w:type="dxa"/>
            <w:shd w:val="clear" w:color="auto" w:fill="FFFF00"/>
            <w:vAlign w:val="center"/>
          </w:tcPr>
          <w:p w:rsidR="00DB6AC3" w:rsidRPr="00DB6AC3" w:rsidRDefault="00DB6AC3" w:rsidP="00DB6AC3">
            <w:pPr>
              <w:jc w:val="center"/>
              <w:rPr>
                <w:b/>
                <w:bCs/>
                <w:sz w:val="24"/>
                <w:szCs w:val="24"/>
              </w:rPr>
            </w:pPr>
            <w:r w:rsidRPr="00DB6AC3">
              <w:rPr>
                <w:b/>
                <w:bCs/>
                <w:sz w:val="24"/>
                <w:szCs w:val="24"/>
              </w:rPr>
              <w:t>834</w:t>
            </w:r>
          </w:p>
        </w:tc>
        <w:tc>
          <w:tcPr>
            <w:tcW w:w="1701" w:type="dxa"/>
            <w:vMerge/>
            <w:shd w:val="clear" w:color="auto" w:fill="FFFF00"/>
          </w:tcPr>
          <w:p w:rsidR="00DB6AC3" w:rsidRDefault="00DB6AC3" w:rsidP="00C50F1D">
            <w:pPr>
              <w:rPr>
                <w:b/>
                <w:bCs/>
              </w:rPr>
            </w:pPr>
          </w:p>
        </w:tc>
      </w:tr>
    </w:tbl>
    <w:p w:rsidR="00DB6AC3" w:rsidRDefault="00DB6AC3" w:rsidP="00DB6AC3"/>
    <w:p w:rsidR="00446CB9" w:rsidRPr="00446CB9" w:rsidRDefault="00446CB9" w:rsidP="00446CB9">
      <w:pPr>
        <w:spacing w:after="0"/>
        <w:jc w:val="center"/>
        <w:rPr>
          <w:b/>
          <w:bCs/>
          <w:u w:val="single"/>
          <w:lang w:val="el-GR"/>
        </w:rPr>
      </w:pPr>
      <w:r w:rsidRPr="00446CB9">
        <w:rPr>
          <w:b/>
          <w:bCs/>
          <w:u w:val="single"/>
          <w:lang w:val="el-GR"/>
        </w:rPr>
        <w:t xml:space="preserve">Γραφική Παράσταση των αποτελεσμάτων των προηγούμενων και της σημερινής αύξησης, ως προς το σύνολο των εισοδημάτων των χαμηλοσυνταξιούχων – </w:t>
      </w:r>
      <w:r w:rsidR="00DC5679">
        <w:rPr>
          <w:b/>
          <w:bCs/>
          <w:u w:val="single"/>
          <w:lang w:val="el-GR"/>
        </w:rPr>
        <w:t>Μ</w:t>
      </w:r>
      <w:r w:rsidRPr="00446CB9">
        <w:rPr>
          <w:b/>
          <w:bCs/>
          <w:u w:val="single"/>
          <w:lang w:val="el-GR"/>
        </w:rPr>
        <w:t xml:space="preserve">ονήρες </w:t>
      </w:r>
      <w:r w:rsidR="00DC5679">
        <w:rPr>
          <w:b/>
          <w:bCs/>
          <w:u w:val="single"/>
          <w:lang w:val="el-GR"/>
        </w:rPr>
        <w:t>Ν</w:t>
      </w:r>
      <w:r w:rsidRPr="00446CB9">
        <w:rPr>
          <w:b/>
          <w:bCs/>
          <w:u w:val="single"/>
          <w:lang w:val="el-GR"/>
        </w:rPr>
        <w:t>οικοκυριό</w:t>
      </w:r>
    </w:p>
    <w:p w:rsidR="00DB6AC3" w:rsidRDefault="00446CB9" w:rsidP="00DB6AC3">
      <w:r>
        <w:rPr>
          <w:noProof/>
          <w:lang w:val="el-GR" w:eastAsia="el-GR"/>
        </w:rPr>
        <w:drawing>
          <wp:inline distT="0" distB="0" distL="0" distR="0">
            <wp:extent cx="633222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32220" cy="3566160"/>
                    </a:xfrm>
                    <a:prstGeom prst="rect">
                      <a:avLst/>
                    </a:prstGeom>
                  </pic:spPr>
                </pic:pic>
              </a:graphicData>
            </a:graphic>
          </wp:inline>
        </w:drawing>
      </w:r>
    </w:p>
    <w:p w:rsidR="00DB6AC3" w:rsidRDefault="00DB6AC3" w:rsidP="00DB6AC3"/>
    <w:p w:rsidR="00DB6AC3" w:rsidRDefault="00DB6AC3" w:rsidP="00DB6AC3">
      <w:pPr>
        <w:spacing w:after="0"/>
        <w:jc w:val="center"/>
        <w:rPr>
          <w:b/>
          <w:bCs/>
          <w:u w:val="single"/>
          <w:lang w:val="el-GR"/>
        </w:rPr>
      </w:pPr>
    </w:p>
    <w:p w:rsidR="00DB6AC3" w:rsidRDefault="00DB6AC3" w:rsidP="00DB6AC3">
      <w:pPr>
        <w:spacing w:after="0"/>
        <w:jc w:val="center"/>
        <w:rPr>
          <w:b/>
          <w:bCs/>
          <w:u w:val="single"/>
          <w:lang w:val="el-GR"/>
        </w:rPr>
      </w:pPr>
    </w:p>
    <w:p w:rsidR="00446CB9" w:rsidRDefault="00446CB9">
      <w:pPr>
        <w:rPr>
          <w:b/>
          <w:bCs/>
          <w:u w:val="single"/>
          <w:lang w:val="el-GR"/>
        </w:rPr>
      </w:pPr>
      <w:r>
        <w:rPr>
          <w:b/>
          <w:bCs/>
          <w:u w:val="single"/>
          <w:lang w:val="el-GR"/>
        </w:rPr>
        <w:br w:type="page"/>
      </w:r>
    </w:p>
    <w:p w:rsidR="00DB6AC3" w:rsidRPr="00DB6AC3" w:rsidRDefault="00DB6AC3" w:rsidP="00DB6AC3">
      <w:pPr>
        <w:spacing w:after="0"/>
        <w:jc w:val="center"/>
        <w:rPr>
          <w:b/>
          <w:bCs/>
          <w:u w:val="single"/>
          <w:lang w:val="el-GR"/>
        </w:rPr>
      </w:pPr>
      <w:r w:rsidRPr="00DB6AC3">
        <w:rPr>
          <w:b/>
          <w:bCs/>
          <w:u w:val="single"/>
          <w:lang w:val="el-GR"/>
        </w:rPr>
        <w:lastRenderedPageBreak/>
        <w:t xml:space="preserve">Νοικοκυριό με 2 Συνταξιούχους (όριο φτώχειας 2020 = </w:t>
      </w:r>
      <w:r w:rsidRPr="00DB6AC3">
        <w:rPr>
          <w:rFonts w:cstheme="minorHAnsi"/>
          <w:b/>
          <w:bCs/>
          <w:u w:val="single"/>
          <w:lang w:val="el-GR"/>
        </w:rPr>
        <w:t>€1.065)</w:t>
      </w:r>
    </w:p>
    <w:tbl>
      <w:tblPr>
        <w:tblStyle w:val="TableGrid"/>
        <w:tblW w:w="9918" w:type="dxa"/>
        <w:jc w:val="center"/>
        <w:tblLayout w:type="fixed"/>
        <w:tblLook w:val="04A0"/>
      </w:tblPr>
      <w:tblGrid>
        <w:gridCol w:w="1458"/>
        <w:gridCol w:w="1396"/>
        <w:gridCol w:w="1396"/>
        <w:gridCol w:w="990"/>
        <w:gridCol w:w="851"/>
        <w:gridCol w:w="1984"/>
        <w:gridCol w:w="1843"/>
      </w:tblGrid>
      <w:tr w:rsidR="00DB6AC3" w:rsidRPr="00283852" w:rsidTr="00C50F1D">
        <w:trPr>
          <w:jc w:val="center"/>
        </w:trPr>
        <w:tc>
          <w:tcPr>
            <w:tcW w:w="1458" w:type="dxa"/>
            <w:shd w:val="clear" w:color="auto" w:fill="FFFF00"/>
          </w:tcPr>
          <w:p w:rsidR="00DB6AC3" w:rsidRDefault="00DB6AC3" w:rsidP="00C50F1D">
            <w:pPr>
              <w:jc w:val="center"/>
              <w:rPr>
                <w:b/>
                <w:bCs/>
              </w:rPr>
            </w:pPr>
            <w:r>
              <w:rPr>
                <w:b/>
                <w:bCs/>
              </w:rPr>
              <w:t xml:space="preserve">Αρχικό </w:t>
            </w:r>
            <w:r w:rsidRPr="00283852">
              <w:rPr>
                <w:b/>
                <w:bCs/>
              </w:rPr>
              <w:t>Ύψος Σύνταξης και εισοδημάτων</w:t>
            </w:r>
          </w:p>
          <w:p w:rsidR="00DB6AC3" w:rsidRPr="00283852" w:rsidRDefault="00DB6AC3" w:rsidP="00C50F1D">
            <w:pPr>
              <w:jc w:val="center"/>
              <w:rPr>
                <w:b/>
                <w:bCs/>
              </w:rPr>
            </w:pPr>
            <w:r w:rsidRPr="00283852">
              <w:rPr>
                <w:rFonts w:cstheme="minorHAnsi"/>
                <w:b/>
                <w:bCs/>
              </w:rPr>
              <w:t>€</w:t>
            </w:r>
          </w:p>
        </w:tc>
        <w:tc>
          <w:tcPr>
            <w:tcW w:w="1396" w:type="dxa"/>
            <w:shd w:val="clear" w:color="auto" w:fill="DBE5F1" w:themeFill="accent1" w:themeFillTint="33"/>
          </w:tcPr>
          <w:p w:rsidR="00DB6AC3" w:rsidRPr="00B2038C" w:rsidRDefault="00DB6AC3" w:rsidP="00C50F1D">
            <w:pPr>
              <w:jc w:val="center"/>
              <w:rPr>
                <w:b/>
                <w:bCs/>
                <w:sz w:val="20"/>
                <w:szCs w:val="20"/>
              </w:rPr>
            </w:pPr>
            <w:r w:rsidRPr="00B2038C">
              <w:rPr>
                <w:b/>
                <w:bCs/>
                <w:sz w:val="20"/>
                <w:szCs w:val="20"/>
              </w:rPr>
              <w:t>Επίδομα μέχρι 2016</w:t>
            </w:r>
          </w:p>
          <w:p w:rsidR="00DB6AC3" w:rsidRPr="00B2038C" w:rsidRDefault="00DB6AC3" w:rsidP="00C50F1D">
            <w:pPr>
              <w:jc w:val="center"/>
              <w:rPr>
                <w:b/>
                <w:bCs/>
                <w:sz w:val="20"/>
                <w:szCs w:val="20"/>
              </w:rPr>
            </w:pPr>
          </w:p>
          <w:p w:rsidR="00DB6AC3" w:rsidRPr="00B2038C" w:rsidRDefault="00DB6AC3" w:rsidP="00C50F1D">
            <w:pPr>
              <w:jc w:val="center"/>
              <w:rPr>
                <w:b/>
                <w:bCs/>
                <w:sz w:val="20"/>
                <w:szCs w:val="20"/>
              </w:rPr>
            </w:pPr>
            <w:r w:rsidRPr="00B2038C">
              <w:rPr>
                <w:rFonts w:cstheme="minorHAnsi"/>
                <w:b/>
                <w:bCs/>
                <w:sz w:val="20"/>
                <w:szCs w:val="20"/>
              </w:rPr>
              <w:t>€</w:t>
            </w:r>
          </w:p>
        </w:tc>
        <w:tc>
          <w:tcPr>
            <w:tcW w:w="1396" w:type="dxa"/>
            <w:shd w:val="clear" w:color="auto" w:fill="B8CCE4" w:themeFill="accent1" w:themeFillTint="66"/>
          </w:tcPr>
          <w:p w:rsidR="00DB6AC3" w:rsidRDefault="00DB6AC3" w:rsidP="00C50F1D">
            <w:pPr>
              <w:jc w:val="center"/>
              <w:rPr>
                <w:b/>
                <w:bCs/>
                <w:sz w:val="20"/>
                <w:szCs w:val="20"/>
              </w:rPr>
            </w:pPr>
            <w:r w:rsidRPr="00B2038C">
              <w:rPr>
                <w:b/>
                <w:bCs/>
                <w:sz w:val="20"/>
                <w:szCs w:val="20"/>
              </w:rPr>
              <w:t>Επίδομα με τις 2 πρώτες αυξήσεις</w:t>
            </w:r>
          </w:p>
          <w:p w:rsidR="00DB6AC3" w:rsidRPr="00B2038C" w:rsidRDefault="00DB6AC3" w:rsidP="00C50F1D">
            <w:pPr>
              <w:jc w:val="center"/>
              <w:rPr>
                <w:b/>
                <w:bCs/>
                <w:sz w:val="20"/>
                <w:szCs w:val="20"/>
              </w:rPr>
            </w:pPr>
            <w:r w:rsidRPr="00B2038C">
              <w:rPr>
                <w:rFonts w:cstheme="minorHAnsi"/>
                <w:b/>
                <w:bCs/>
                <w:sz w:val="20"/>
                <w:szCs w:val="20"/>
              </w:rPr>
              <w:t>€</w:t>
            </w:r>
          </w:p>
        </w:tc>
        <w:tc>
          <w:tcPr>
            <w:tcW w:w="1841" w:type="dxa"/>
            <w:gridSpan w:val="2"/>
            <w:shd w:val="clear" w:color="auto" w:fill="95B3D7" w:themeFill="accent1" w:themeFillTint="99"/>
          </w:tcPr>
          <w:p w:rsidR="00DB6AC3" w:rsidRDefault="00DB6AC3" w:rsidP="00C50F1D">
            <w:pPr>
              <w:jc w:val="center"/>
              <w:rPr>
                <w:b/>
                <w:bCs/>
              </w:rPr>
            </w:pPr>
            <w:r w:rsidRPr="00283852">
              <w:rPr>
                <w:b/>
                <w:bCs/>
              </w:rPr>
              <w:t>Επίδομα μετά την αύξηση του 2020</w:t>
            </w:r>
          </w:p>
          <w:p w:rsidR="00DB6AC3" w:rsidRPr="00283852" w:rsidRDefault="00DB6AC3" w:rsidP="00C50F1D">
            <w:pPr>
              <w:jc w:val="center"/>
              <w:rPr>
                <w:b/>
                <w:bCs/>
              </w:rPr>
            </w:pPr>
            <w:r w:rsidRPr="00283852">
              <w:rPr>
                <w:rFonts w:cstheme="minorHAnsi"/>
                <w:b/>
                <w:bCs/>
              </w:rPr>
              <w:t>€</w:t>
            </w:r>
          </w:p>
        </w:tc>
        <w:tc>
          <w:tcPr>
            <w:tcW w:w="1984" w:type="dxa"/>
            <w:shd w:val="clear" w:color="auto" w:fill="FFFF00"/>
          </w:tcPr>
          <w:p w:rsidR="00DB6AC3" w:rsidRDefault="00DB6AC3" w:rsidP="00C50F1D">
            <w:pPr>
              <w:jc w:val="center"/>
              <w:rPr>
                <w:b/>
                <w:bCs/>
              </w:rPr>
            </w:pPr>
            <w:r w:rsidRPr="00283852">
              <w:rPr>
                <w:b/>
                <w:bCs/>
              </w:rPr>
              <w:t>Ύψος Σύνταξης και εισοδημάτων μετά τις 3 αυξήσεις</w:t>
            </w:r>
          </w:p>
          <w:p w:rsidR="00DB6AC3" w:rsidRPr="00283852" w:rsidRDefault="00DB6AC3" w:rsidP="00C50F1D">
            <w:pPr>
              <w:jc w:val="center"/>
              <w:rPr>
                <w:b/>
                <w:bCs/>
              </w:rPr>
            </w:pPr>
            <w:r w:rsidRPr="00283852">
              <w:rPr>
                <w:rFonts w:cstheme="minorHAnsi"/>
                <w:b/>
                <w:bCs/>
              </w:rPr>
              <w:t>€</w:t>
            </w:r>
          </w:p>
        </w:tc>
        <w:tc>
          <w:tcPr>
            <w:tcW w:w="1843" w:type="dxa"/>
            <w:shd w:val="clear" w:color="auto" w:fill="FFFF00"/>
            <w:vAlign w:val="center"/>
          </w:tcPr>
          <w:p w:rsidR="00DB6AC3" w:rsidRPr="00283852" w:rsidRDefault="00DB6AC3" w:rsidP="00C50F1D">
            <w:pPr>
              <w:jc w:val="center"/>
              <w:rPr>
                <w:b/>
                <w:bCs/>
              </w:rPr>
            </w:pPr>
            <w:r>
              <w:rPr>
                <w:b/>
                <w:bCs/>
              </w:rPr>
              <w:t>Επωφελούμενοι</w:t>
            </w:r>
          </w:p>
        </w:tc>
      </w:tr>
      <w:tr w:rsidR="00DB6AC3" w:rsidTr="00DB6AC3">
        <w:trPr>
          <w:jc w:val="center"/>
        </w:trPr>
        <w:tc>
          <w:tcPr>
            <w:tcW w:w="1458" w:type="dxa"/>
            <w:shd w:val="clear" w:color="auto" w:fill="FFFF00"/>
          </w:tcPr>
          <w:p w:rsidR="00DB6AC3" w:rsidRPr="00B2038C" w:rsidRDefault="00DB6AC3" w:rsidP="00C50F1D">
            <w:pPr>
              <w:rPr>
                <w:b/>
                <w:bCs/>
              </w:rPr>
            </w:pPr>
            <w:r>
              <w:rPr>
                <w:b/>
                <w:bCs/>
              </w:rPr>
              <w:t>700</w:t>
            </w:r>
          </w:p>
        </w:tc>
        <w:tc>
          <w:tcPr>
            <w:tcW w:w="1396" w:type="dxa"/>
            <w:shd w:val="clear" w:color="auto" w:fill="DBE5F1" w:themeFill="accent1" w:themeFillTint="33"/>
          </w:tcPr>
          <w:p w:rsidR="00DB6AC3" w:rsidRPr="00B2038C" w:rsidRDefault="00DB6AC3" w:rsidP="00C50F1D">
            <w:pPr>
              <w:rPr>
                <w:sz w:val="20"/>
                <w:szCs w:val="20"/>
              </w:rPr>
            </w:pPr>
            <w:r>
              <w:rPr>
                <w:sz w:val="20"/>
                <w:szCs w:val="20"/>
              </w:rPr>
              <w:t>266</w:t>
            </w:r>
          </w:p>
        </w:tc>
        <w:tc>
          <w:tcPr>
            <w:tcW w:w="1396" w:type="dxa"/>
            <w:shd w:val="clear" w:color="auto" w:fill="B8CCE4" w:themeFill="accent1" w:themeFillTint="66"/>
          </w:tcPr>
          <w:p w:rsidR="00DB6AC3" w:rsidRPr="00B2038C" w:rsidRDefault="00DB6AC3" w:rsidP="00C50F1D">
            <w:pPr>
              <w:rPr>
                <w:sz w:val="20"/>
                <w:szCs w:val="20"/>
              </w:rPr>
            </w:pPr>
            <w:r>
              <w:rPr>
                <w:sz w:val="20"/>
                <w:szCs w:val="20"/>
              </w:rPr>
              <w:t>400</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510</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(+110)</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1.210</w:t>
            </w:r>
          </w:p>
        </w:tc>
        <w:tc>
          <w:tcPr>
            <w:tcW w:w="1843" w:type="dxa"/>
            <w:vMerge w:val="restart"/>
            <w:shd w:val="clear" w:color="auto" w:fill="FFFF00"/>
            <w:vAlign w:val="center"/>
          </w:tcPr>
          <w:p w:rsidR="00DB6AC3" w:rsidRDefault="00DB6AC3" w:rsidP="00C50F1D">
            <w:pPr>
              <w:jc w:val="center"/>
              <w:rPr>
                <w:b/>
                <w:bCs/>
              </w:rPr>
            </w:pPr>
            <w:r>
              <w:rPr>
                <w:b/>
                <w:bCs/>
              </w:rPr>
              <w:t>14.500 πρόσωπα</w:t>
            </w:r>
          </w:p>
        </w:tc>
      </w:tr>
      <w:tr w:rsidR="00DB6AC3" w:rsidTr="00DB6AC3">
        <w:trPr>
          <w:jc w:val="center"/>
        </w:trPr>
        <w:tc>
          <w:tcPr>
            <w:tcW w:w="1458" w:type="dxa"/>
            <w:shd w:val="clear" w:color="auto" w:fill="FFFF00"/>
          </w:tcPr>
          <w:p w:rsidR="00DB6AC3" w:rsidRPr="00B2038C" w:rsidRDefault="00DB6AC3" w:rsidP="00C50F1D">
            <w:pPr>
              <w:rPr>
                <w:b/>
                <w:bCs/>
              </w:rPr>
            </w:pPr>
            <w:r>
              <w:rPr>
                <w:b/>
                <w:bCs/>
              </w:rPr>
              <w:t>750</w:t>
            </w:r>
          </w:p>
        </w:tc>
        <w:tc>
          <w:tcPr>
            <w:tcW w:w="1396" w:type="dxa"/>
            <w:shd w:val="clear" w:color="auto" w:fill="DBE5F1" w:themeFill="accent1" w:themeFillTint="33"/>
          </w:tcPr>
          <w:p w:rsidR="00DB6AC3" w:rsidRPr="00B2038C" w:rsidRDefault="00DB6AC3" w:rsidP="00C50F1D">
            <w:pPr>
              <w:rPr>
                <w:sz w:val="20"/>
                <w:szCs w:val="20"/>
              </w:rPr>
            </w:pPr>
            <w:r>
              <w:rPr>
                <w:sz w:val="20"/>
                <w:szCs w:val="20"/>
              </w:rPr>
              <w:t>250</w:t>
            </w:r>
          </w:p>
        </w:tc>
        <w:tc>
          <w:tcPr>
            <w:tcW w:w="1396" w:type="dxa"/>
            <w:shd w:val="clear" w:color="auto" w:fill="B8CCE4" w:themeFill="accent1" w:themeFillTint="66"/>
          </w:tcPr>
          <w:p w:rsidR="00DB6AC3" w:rsidRPr="00B2038C" w:rsidRDefault="00DB6AC3" w:rsidP="00C50F1D">
            <w:pPr>
              <w:rPr>
                <w:sz w:val="20"/>
                <w:szCs w:val="20"/>
              </w:rPr>
            </w:pPr>
            <w:r>
              <w:rPr>
                <w:sz w:val="20"/>
                <w:szCs w:val="20"/>
              </w:rPr>
              <w:t>380</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510</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(+130)</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1.260</w:t>
            </w:r>
          </w:p>
        </w:tc>
        <w:tc>
          <w:tcPr>
            <w:tcW w:w="1843" w:type="dxa"/>
            <w:vMerge/>
            <w:shd w:val="clear" w:color="auto" w:fill="FFFF00"/>
          </w:tcPr>
          <w:p w:rsidR="00DB6AC3" w:rsidRDefault="00DB6AC3" w:rsidP="00C50F1D">
            <w:pPr>
              <w:rPr>
                <w:b/>
                <w:bCs/>
              </w:rPr>
            </w:pPr>
          </w:p>
        </w:tc>
      </w:tr>
      <w:tr w:rsidR="00DB6AC3" w:rsidTr="00DB6AC3">
        <w:trPr>
          <w:jc w:val="center"/>
        </w:trPr>
        <w:tc>
          <w:tcPr>
            <w:tcW w:w="1458" w:type="dxa"/>
            <w:shd w:val="clear" w:color="auto" w:fill="FFFF00"/>
          </w:tcPr>
          <w:p w:rsidR="00DB6AC3" w:rsidRPr="00B2038C" w:rsidRDefault="00DB6AC3" w:rsidP="00C50F1D">
            <w:pPr>
              <w:rPr>
                <w:b/>
                <w:bCs/>
              </w:rPr>
            </w:pPr>
            <w:r>
              <w:rPr>
                <w:b/>
                <w:bCs/>
              </w:rPr>
              <w:t>800</w:t>
            </w:r>
          </w:p>
        </w:tc>
        <w:tc>
          <w:tcPr>
            <w:tcW w:w="1396" w:type="dxa"/>
            <w:shd w:val="clear" w:color="auto" w:fill="DBE5F1" w:themeFill="accent1" w:themeFillTint="33"/>
          </w:tcPr>
          <w:p w:rsidR="00DB6AC3" w:rsidRPr="00B2038C" w:rsidRDefault="00DB6AC3" w:rsidP="00C50F1D">
            <w:pPr>
              <w:rPr>
                <w:sz w:val="20"/>
                <w:szCs w:val="20"/>
              </w:rPr>
            </w:pPr>
            <w:r>
              <w:rPr>
                <w:sz w:val="20"/>
                <w:szCs w:val="20"/>
              </w:rPr>
              <w:t>232</w:t>
            </w:r>
          </w:p>
        </w:tc>
        <w:tc>
          <w:tcPr>
            <w:tcW w:w="1396" w:type="dxa"/>
            <w:shd w:val="clear" w:color="auto" w:fill="B8CCE4" w:themeFill="accent1" w:themeFillTint="66"/>
          </w:tcPr>
          <w:p w:rsidR="00DB6AC3" w:rsidRPr="00B2038C" w:rsidRDefault="00DB6AC3" w:rsidP="00C50F1D">
            <w:pPr>
              <w:rPr>
                <w:sz w:val="20"/>
                <w:szCs w:val="20"/>
              </w:rPr>
            </w:pPr>
            <w:r>
              <w:rPr>
                <w:sz w:val="20"/>
                <w:szCs w:val="20"/>
              </w:rPr>
              <w:t>360</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476</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(+116)</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1.271</w:t>
            </w:r>
          </w:p>
        </w:tc>
        <w:tc>
          <w:tcPr>
            <w:tcW w:w="1843" w:type="dxa"/>
            <w:vMerge/>
            <w:shd w:val="clear" w:color="auto" w:fill="FFFF00"/>
          </w:tcPr>
          <w:p w:rsidR="00DB6AC3" w:rsidRDefault="00DB6AC3" w:rsidP="00C50F1D">
            <w:pPr>
              <w:rPr>
                <w:b/>
                <w:bCs/>
              </w:rPr>
            </w:pPr>
          </w:p>
        </w:tc>
      </w:tr>
      <w:tr w:rsidR="00DB6AC3" w:rsidTr="00DB6AC3">
        <w:trPr>
          <w:jc w:val="center"/>
        </w:trPr>
        <w:tc>
          <w:tcPr>
            <w:tcW w:w="1458" w:type="dxa"/>
            <w:shd w:val="clear" w:color="auto" w:fill="FFFF00"/>
          </w:tcPr>
          <w:p w:rsidR="00DB6AC3" w:rsidRPr="00B2038C" w:rsidRDefault="00DB6AC3" w:rsidP="00C50F1D">
            <w:pPr>
              <w:rPr>
                <w:b/>
                <w:bCs/>
              </w:rPr>
            </w:pPr>
            <w:r>
              <w:rPr>
                <w:b/>
                <w:bCs/>
              </w:rPr>
              <w:t>850</w:t>
            </w:r>
          </w:p>
        </w:tc>
        <w:tc>
          <w:tcPr>
            <w:tcW w:w="1396" w:type="dxa"/>
            <w:shd w:val="clear" w:color="auto" w:fill="DBE5F1" w:themeFill="accent1" w:themeFillTint="33"/>
          </w:tcPr>
          <w:p w:rsidR="00DB6AC3" w:rsidRPr="00B2038C" w:rsidRDefault="00DB6AC3" w:rsidP="00C50F1D">
            <w:pPr>
              <w:rPr>
                <w:sz w:val="20"/>
                <w:szCs w:val="20"/>
              </w:rPr>
            </w:pPr>
            <w:r>
              <w:rPr>
                <w:sz w:val="20"/>
                <w:szCs w:val="20"/>
              </w:rPr>
              <w:t>216</w:t>
            </w:r>
          </w:p>
        </w:tc>
        <w:tc>
          <w:tcPr>
            <w:tcW w:w="1396" w:type="dxa"/>
            <w:shd w:val="clear" w:color="auto" w:fill="B8CCE4" w:themeFill="accent1" w:themeFillTint="66"/>
          </w:tcPr>
          <w:p w:rsidR="00DB6AC3" w:rsidRPr="00B2038C" w:rsidRDefault="00DB6AC3" w:rsidP="00C50F1D">
            <w:pPr>
              <w:rPr>
                <w:sz w:val="20"/>
                <w:szCs w:val="20"/>
              </w:rPr>
            </w:pPr>
            <w:r>
              <w:rPr>
                <w:sz w:val="20"/>
                <w:szCs w:val="20"/>
              </w:rPr>
              <w:t>320</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421</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(+101)</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1.271</w:t>
            </w:r>
          </w:p>
        </w:tc>
        <w:tc>
          <w:tcPr>
            <w:tcW w:w="1843" w:type="dxa"/>
            <w:vMerge/>
            <w:shd w:val="clear" w:color="auto" w:fill="FFFF00"/>
          </w:tcPr>
          <w:p w:rsidR="00DB6AC3" w:rsidRDefault="00DB6AC3" w:rsidP="00C50F1D">
            <w:pPr>
              <w:rPr>
                <w:b/>
                <w:bCs/>
              </w:rPr>
            </w:pPr>
          </w:p>
        </w:tc>
      </w:tr>
      <w:tr w:rsidR="00DB6AC3" w:rsidTr="00DB6AC3">
        <w:trPr>
          <w:jc w:val="center"/>
        </w:trPr>
        <w:tc>
          <w:tcPr>
            <w:tcW w:w="1458" w:type="dxa"/>
            <w:shd w:val="clear" w:color="auto" w:fill="FFFF00"/>
          </w:tcPr>
          <w:p w:rsidR="00DB6AC3" w:rsidRPr="00B2038C" w:rsidRDefault="00DB6AC3" w:rsidP="00C50F1D">
            <w:pPr>
              <w:rPr>
                <w:b/>
                <w:bCs/>
              </w:rPr>
            </w:pPr>
            <w:r>
              <w:rPr>
                <w:b/>
                <w:bCs/>
              </w:rPr>
              <w:t>900</w:t>
            </w:r>
          </w:p>
        </w:tc>
        <w:tc>
          <w:tcPr>
            <w:tcW w:w="1396" w:type="dxa"/>
            <w:shd w:val="clear" w:color="auto" w:fill="DBE5F1" w:themeFill="accent1" w:themeFillTint="33"/>
          </w:tcPr>
          <w:p w:rsidR="00DB6AC3" w:rsidRPr="00B2038C" w:rsidRDefault="00DB6AC3" w:rsidP="00C50F1D">
            <w:pPr>
              <w:rPr>
                <w:sz w:val="20"/>
                <w:szCs w:val="20"/>
              </w:rPr>
            </w:pPr>
            <w:r>
              <w:rPr>
                <w:sz w:val="20"/>
                <w:szCs w:val="20"/>
              </w:rPr>
              <w:t>200</w:t>
            </w:r>
          </w:p>
        </w:tc>
        <w:tc>
          <w:tcPr>
            <w:tcW w:w="1396" w:type="dxa"/>
            <w:shd w:val="clear" w:color="auto" w:fill="B8CCE4" w:themeFill="accent1" w:themeFillTint="66"/>
          </w:tcPr>
          <w:p w:rsidR="00DB6AC3" w:rsidRPr="00B2038C" w:rsidRDefault="00DB6AC3" w:rsidP="00C50F1D">
            <w:pPr>
              <w:rPr>
                <w:sz w:val="20"/>
                <w:szCs w:val="20"/>
              </w:rPr>
            </w:pPr>
            <w:r>
              <w:rPr>
                <w:sz w:val="20"/>
                <w:szCs w:val="20"/>
              </w:rPr>
              <w:t>300</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371</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(+71)</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1.271</w:t>
            </w:r>
          </w:p>
        </w:tc>
        <w:tc>
          <w:tcPr>
            <w:tcW w:w="1843" w:type="dxa"/>
            <w:vMerge/>
            <w:shd w:val="clear" w:color="auto" w:fill="FFFF00"/>
          </w:tcPr>
          <w:p w:rsidR="00DB6AC3" w:rsidRDefault="00DB6AC3" w:rsidP="00C50F1D">
            <w:pPr>
              <w:rPr>
                <w:b/>
                <w:bCs/>
              </w:rPr>
            </w:pPr>
          </w:p>
        </w:tc>
      </w:tr>
      <w:tr w:rsidR="00DB6AC3" w:rsidTr="00DB6AC3">
        <w:trPr>
          <w:jc w:val="center"/>
        </w:trPr>
        <w:tc>
          <w:tcPr>
            <w:tcW w:w="1458" w:type="dxa"/>
            <w:shd w:val="clear" w:color="auto" w:fill="FFFF00"/>
          </w:tcPr>
          <w:p w:rsidR="00DB6AC3" w:rsidRPr="00B2038C" w:rsidRDefault="00DB6AC3" w:rsidP="00C50F1D">
            <w:pPr>
              <w:rPr>
                <w:b/>
                <w:bCs/>
              </w:rPr>
            </w:pPr>
            <w:r>
              <w:rPr>
                <w:b/>
                <w:bCs/>
              </w:rPr>
              <w:t>950</w:t>
            </w:r>
          </w:p>
        </w:tc>
        <w:tc>
          <w:tcPr>
            <w:tcW w:w="1396" w:type="dxa"/>
            <w:shd w:val="clear" w:color="auto" w:fill="DBE5F1" w:themeFill="accent1" w:themeFillTint="33"/>
          </w:tcPr>
          <w:p w:rsidR="00DB6AC3" w:rsidRPr="00B2038C" w:rsidRDefault="00DB6AC3" w:rsidP="00C50F1D">
            <w:pPr>
              <w:rPr>
                <w:sz w:val="20"/>
                <w:szCs w:val="20"/>
              </w:rPr>
            </w:pPr>
            <w:r>
              <w:rPr>
                <w:sz w:val="20"/>
                <w:szCs w:val="20"/>
              </w:rPr>
              <w:t>182</w:t>
            </w:r>
          </w:p>
        </w:tc>
        <w:tc>
          <w:tcPr>
            <w:tcW w:w="1396" w:type="dxa"/>
            <w:shd w:val="clear" w:color="auto" w:fill="B8CCE4" w:themeFill="accent1" w:themeFillTint="66"/>
          </w:tcPr>
          <w:p w:rsidR="00DB6AC3" w:rsidRPr="00B2038C" w:rsidRDefault="00DB6AC3" w:rsidP="00C50F1D">
            <w:pPr>
              <w:rPr>
                <w:sz w:val="20"/>
                <w:szCs w:val="20"/>
              </w:rPr>
            </w:pPr>
            <w:r>
              <w:rPr>
                <w:sz w:val="20"/>
                <w:szCs w:val="20"/>
              </w:rPr>
              <w:t>280</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321</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(+41)</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1.271</w:t>
            </w:r>
          </w:p>
        </w:tc>
        <w:tc>
          <w:tcPr>
            <w:tcW w:w="1843" w:type="dxa"/>
            <w:vMerge/>
            <w:shd w:val="clear" w:color="auto" w:fill="FFFF00"/>
          </w:tcPr>
          <w:p w:rsidR="00DB6AC3" w:rsidRDefault="00DB6AC3" w:rsidP="00C50F1D">
            <w:pPr>
              <w:rPr>
                <w:b/>
                <w:bCs/>
              </w:rPr>
            </w:pPr>
          </w:p>
        </w:tc>
      </w:tr>
      <w:tr w:rsidR="00DB6AC3" w:rsidTr="00DB6AC3">
        <w:trPr>
          <w:jc w:val="center"/>
        </w:trPr>
        <w:tc>
          <w:tcPr>
            <w:tcW w:w="1458" w:type="dxa"/>
            <w:shd w:val="clear" w:color="auto" w:fill="FFFF00"/>
          </w:tcPr>
          <w:p w:rsidR="00DB6AC3" w:rsidRPr="00B2038C" w:rsidRDefault="00DB6AC3" w:rsidP="00C50F1D">
            <w:pPr>
              <w:rPr>
                <w:b/>
                <w:bCs/>
              </w:rPr>
            </w:pPr>
            <w:r>
              <w:rPr>
                <w:b/>
                <w:bCs/>
              </w:rPr>
              <w:t>1.000-1.150</w:t>
            </w:r>
          </w:p>
        </w:tc>
        <w:tc>
          <w:tcPr>
            <w:tcW w:w="1396" w:type="dxa"/>
            <w:shd w:val="clear" w:color="auto" w:fill="DBE5F1" w:themeFill="accent1" w:themeFillTint="33"/>
          </w:tcPr>
          <w:p w:rsidR="00DB6AC3" w:rsidRPr="00B2038C" w:rsidRDefault="00DB6AC3" w:rsidP="00C50F1D">
            <w:pPr>
              <w:rPr>
                <w:sz w:val="20"/>
                <w:szCs w:val="20"/>
              </w:rPr>
            </w:pPr>
            <w:r>
              <w:rPr>
                <w:sz w:val="20"/>
                <w:szCs w:val="20"/>
              </w:rPr>
              <w:t>91-182</w:t>
            </w:r>
          </w:p>
        </w:tc>
        <w:tc>
          <w:tcPr>
            <w:tcW w:w="1396" w:type="dxa"/>
            <w:shd w:val="clear" w:color="auto" w:fill="B8CCE4" w:themeFill="accent1" w:themeFillTint="66"/>
          </w:tcPr>
          <w:p w:rsidR="00DB6AC3" w:rsidRPr="00B2038C" w:rsidRDefault="00DB6AC3" w:rsidP="00C50F1D">
            <w:pPr>
              <w:rPr>
                <w:sz w:val="20"/>
                <w:szCs w:val="20"/>
              </w:rPr>
            </w:pPr>
            <w:r>
              <w:rPr>
                <w:sz w:val="20"/>
                <w:szCs w:val="20"/>
              </w:rPr>
              <w:t>131-271</w:t>
            </w:r>
          </w:p>
        </w:tc>
        <w:tc>
          <w:tcPr>
            <w:tcW w:w="990" w:type="dxa"/>
            <w:tcBorders>
              <w:right w:val="nil"/>
            </w:tcBorders>
            <w:shd w:val="clear" w:color="auto" w:fill="95B3D7" w:themeFill="accent1" w:themeFillTint="99"/>
          </w:tcPr>
          <w:p w:rsidR="00DB6AC3" w:rsidRPr="00B2038C" w:rsidRDefault="00DB6AC3" w:rsidP="00C50F1D">
            <w:pPr>
              <w:rPr>
                <w:b/>
                <w:bCs/>
              </w:rPr>
            </w:pPr>
            <w:r>
              <w:rPr>
                <w:b/>
                <w:bCs/>
              </w:rPr>
              <w:t>171-271</w:t>
            </w:r>
          </w:p>
        </w:tc>
        <w:tc>
          <w:tcPr>
            <w:tcW w:w="851" w:type="dxa"/>
            <w:tcBorders>
              <w:left w:val="nil"/>
            </w:tcBorders>
            <w:shd w:val="clear" w:color="auto" w:fill="95B3D7" w:themeFill="accent1" w:themeFillTint="99"/>
          </w:tcPr>
          <w:p w:rsidR="00DB6AC3" w:rsidRPr="00B2038C" w:rsidRDefault="00DB6AC3" w:rsidP="00C50F1D">
            <w:pPr>
              <w:rPr>
                <w:b/>
                <w:bCs/>
              </w:rPr>
            </w:pPr>
            <w:r>
              <w:rPr>
                <w:b/>
                <w:bCs/>
              </w:rPr>
              <w:t>(μέχρι 40)</w:t>
            </w:r>
          </w:p>
        </w:tc>
        <w:tc>
          <w:tcPr>
            <w:tcW w:w="1984" w:type="dxa"/>
            <w:shd w:val="clear" w:color="auto" w:fill="FFFF00"/>
            <w:vAlign w:val="center"/>
          </w:tcPr>
          <w:p w:rsidR="00DB6AC3" w:rsidRPr="00DB6AC3" w:rsidRDefault="00DB6AC3" w:rsidP="00DB6AC3">
            <w:pPr>
              <w:jc w:val="center"/>
              <w:rPr>
                <w:b/>
                <w:bCs/>
                <w:sz w:val="24"/>
                <w:szCs w:val="24"/>
              </w:rPr>
            </w:pPr>
            <w:r w:rsidRPr="00DB6AC3">
              <w:rPr>
                <w:b/>
                <w:bCs/>
                <w:sz w:val="24"/>
                <w:szCs w:val="24"/>
              </w:rPr>
              <w:t>1.271</w:t>
            </w:r>
          </w:p>
        </w:tc>
        <w:tc>
          <w:tcPr>
            <w:tcW w:w="1843" w:type="dxa"/>
            <w:vMerge/>
            <w:shd w:val="clear" w:color="auto" w:fill="FFFF00"/>
          </w:tcPr>
          <w:p w:rsidR="00DB6AC3" w:rsidRDefault="00DB6AC3" w:rsidP="00C50F1D">
            <w:pPr>
              <w:rPr>
                <w:b/>
                <w:bCs/>
              </w:rPr>
            </w:pPr>
          </w:p>
        </w:tc>
      </w:tr>
    </w:tbl>
    <w:p w:rsidR="00DB6AC3" w:rsidRDefault="00DB6AC3" w:rsidP="00DB6AC3"/>
    <w:p w:rsidR="00DB6AC3" w:rsidRDefault="00DB6AC3" w:rsidP="00DB6AC3"/>
    <w:p w:rsidR="00446CB9" w:rsidRDefault="00446CB9" w:rsidP="00446CB9">
      <w:pPr>
        <w:spacing w:after="0"/>
        <w:jc w:val="center"/>
        <w:rPr>
          <w:b/>
          <w:bCs/>
          <w:u w:val="single"/>
          <w:lang w:val="el-GR"/>
        </w:rPr>
      </w:pPr>
      <w:r w:rsidRPr="00446CB9">
        <w:rPr>
          <w:b/>
          <w:bCs/>
          <w:u w:val="single"/>
          <w:lang w:val="el-GR"/>
        </w:rPr>
        <w:t xml:space="preserve">Γραφική Παράσταση των αποτελεσμάτων των προηγούμενων και της σημερινής αύξησης, ως προς το σύνολο των εισοδημάτων των χαμηλοσυνταξιούχων – </w:t>
      </w:r>
      <w:r w:rsidR="00DC5679">
        <w:rPr>
          <w:b/>
          <w:bCs/>
          <w:u w:val="single"/>
          <w:lang w:val="el-GR"/>
        </w:rPr>
        <w:t>Ζεύγος Συνταξιούχων</w:t>
      </w:r>
    </w:p>
    <w:p w:rsidR="00446CB9" w:rsidRPr="00446CB9" w:rsidRDefault="00446CB9" w:rsidP="00446CB9">
      <w:pPr>
        <w:rPr>
          <w:lang w:val="el-GR"/>
        </w:rPr>
      </w:pPr>
      <w:r>
        <w:rPr>
          <w:noProof/>
          <w:lang w:val="el-GR" w:eastAsia="el-GR"/>
        </w:rPr>
        <w:drawing>
          <wp:inline distT="0" distB="0" distL="0" distR="0">
            <wp:extent cx="6332220" cy="3599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32220" cy="3599180"/>
                    </a:xfrm>
                    <a:prstGeom prst="rect">
                      <a:avLst/>
                    </a:prstGeom>
                  </pic:spPr>
                </pic:pic>
              </a:graphicData>
            </a:graphic>
          </wp:inline>
        </w:drawing>
      </w:r>
    </w:p>
    <w:p w:rsidR="00AF4654" w:rsidRPr="008B34E4" w:rsidRDefault="00AF4654" w:rsidP="00AF4654">
      <w:pPr>
        <w:spacing w:after="0" w:line="360" w:lineRule="auto"/>
        <w:jc w:val="both"/>
        <w:rPr>
          <w:lang w:val="el-GR"/>
        </w:rPr>
      </w:pPr>
    </w:p>
    <w:sectPr w:rsidR="00AF4654" w:rsidRPr="008B34E4" w:rsidSect="00DC5679">
      <w:headerReference w:type="default" r:id="rId10"/>
      <w:footerReference w:type="default" r:id="rId11"/>
      <w:pgSz w:w="12240" w:h="15840"/>
      <w:pgMar w:top="1135" w:right="1134"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09" w:rsidRDefault="00F86A09" w:rsidP="00AF4654">
      <w:pPr>
        <w:spacing w:after="0" w:line="240" w:lineRule="auto"/>
      </w:pPr>
      <w:r>
        <w:separator/>
      </w:r>
    </w:p>
  </w:endnote>
  <w:endnote w:type="continuationSeparator" w:id="0">
    <w:p w:rsidR="00F86A09" w:rsidRDefault="00F86A09" w:rsidP="00AF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882988"/>
      <w:docPartObj>
        <w:docPartGallery w:val="Page Numbers (Bottom of Page)"/>
        <w:docPartUnique/>
      </w:docPartObj>
    </w:sdtPr>
    <w:sdtEndPr>
      <w:rPr>
        <w:noProof/>
      </w:rPr>
    </w:sdtEndPr>
    <w:sdtContent>
      <w:p w:rsidR="00AF4654" w:rsidRDefault="00013AE6">
        <w:pPr>
          <w:pStyle w:val="Footer"/>
          <w:jc w:val="right"/>
        </w:pPr>
        <w:r>
          <w:fldChar w:fldCharType="begin"/>
        </w:r>
        <w:r w:rsidR="00AF4654">
          <w:instrText xml:space="preserve"> PAGE   \* MERGEFORMAT </w:instrText>
        </w:r>
        <w:r>
          <w:fldChar w:fldCharType="separate"/>
        </w:r>
        <w:r w:rsidR="00A757D2">
          <w:rPr>
            <w:noProof/>
          </w:rPr>
          <w:t>4</w:t>
        </w:r>
        <w:r>
          <w:rPr>
            <w:noProof/>
          </w:rPr>
          <w:fldChar w:fldCharType="end"/>
        </w:r>
      </w:p>
    </w:sdtContent>
  </w:sdt>
  <w:p w:rsidR="00AF4654" w:rsidRDefault="00AF4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09" w:rsidRDefault="00F86A09" w:rsidP="00AF4654">
      <w:pPr>
        <w:spacing w:after="0" w:line="240" w:lineRule="auto"/>
      </w:pPr>
      <w:r>
        <w:separator/>
      </w:r>
    </w:p>
  </w:footnote>
  <w:footnote w:type="continuationSeparator" w:id="0">
    <w:p w:rsidR="00F86A09" w:rsidRDefault="00F86A09" w:rsidP="00AF4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F5" w:rsidRPr="0003551D" w:rsidRDefault="000C55F5" w:rsidP="0003551D">
    <w:pPr>
      <w:pStyle w:val="Header"/>
      <w:jc w:val="center"/>
      <w:rPr>
        <w:b/>
        <w:bCs/>
        <w:sz w:val="32"/>
        <w:szCs w:val="32"/>
        <w:u w:val="single"/>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918F6"/>
    <w:multiLevelType w:val="hybridMultilevel"/>
    <w:tmpl w:val="9DB0D5A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43BF"/>
    <w:rsid w:val="00013AE6"/>
    <w:rsid w:val="000340AC"/>
    <w:rsid w:val="0003551D"/>
    <w:rsid w:val="000C55F5"/>
    <w:rsid w:val="00125EA8"/>
    <w:rsid w:val="00187789"/>
    <w:rsid w:val="001B7EC5"/>
    <w:rsid w:val="001C405F"/>
    <w:rsid w:val="00206C5F"/>
    <w:rsid w:val="002420F1"/>
    <w:rsid w:val="00246764"/>
    <w:rsid w:val="00254B82"/>
    <w:rsid w:val="00331661"/>
    <w:rsid w:val="00356E43"/>
    <w:rsid w:val="004257A6"/>
    <w:rsid w:val="00432DAE"/>
    <w:rsid w:val="00446CB9"/>
    <w:rsid w:val="004634A1"/>
    <w:rsid w:val="004A64E7"/>
    <w:rsid w:val="005437E9"/>
    <w:rsid w:val="00543A11"/>
    <w:rsid w:val="0055337A"/>
    <w:rsid w:val="00613AB2"/>
    <w:rsid w:val="006D7A4A"/>
    <w:rsid w:val="006E1289"/>
    <w:rsid w:val="00702819"/>
    <w:rsid w:val="00747376"/>
    <w:rsid w:val="0075312C"/>
    <w:rsid w:val="0078075D"/>
    <w:rsid w:val="007C63F5"/>
    <w:rsid w:val="008E1F77"/>
    <w:rsid w:val="008F054B"/>
    <w:rsid w:val="009957C1"/>
    <w:rsid w:val="00A757D2"/>
    <w:rsid w:val="00AF4654"/>
    <w:rsid w:val="00B80748"/>
    <w:rsid w:val="00B903E3"/>
    <w:rsid w:val="00C165D1"/>
    <w:rsid w:val="00C31508"/>
    <w:rsid w:val="00C743BF"/>
    <w:rsid w:val="00CC720F"/>
    <w:rsid w:val="00D34DC6"/>
    <w:rsid w:val="00DB6AC3"/>
    <w:rsid w:val="00DC5679"/>
    <w:rsid w:val="00DD1FC5"/>
    <w:rsid w:val="00DD2851"/>
    <w:rsid w:val="00DF12DD"/>
    <w:rsid w:val="00E245C2"/>
    <w:rsid w:val="00EB768E"/>
    <w:rsid w:val="00F86A09"/>
    <w:rsid w:val="00F8787B"/>
    <w:rsid w:val="00F904CD"/>
    <w:rsid w:val="00F92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B2"/>
    <w:rPr>
      <w:color w:val="0000FF" w:themeColor="hyperlink"/>
      <w:u w:val="single"/>
    </w:rPr>
  </w:style>
  <w:style w:type="paragraph" w:styleId="BalloonText">
    <w:name w:val="Balloon Text"/>
    <w:basedOn w:val="Normal"/>
    <w:link w:val="BalloonTextChar"/>
    <w:uiPriority w:val="99"/>
    <w:semiHidden/>
    <w:unhideWhenUsed/>
    <w:rsid w:val="0061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B2"/>
    <w:rPr>
      <w:rFonts w:ascii="Tahoma" w:hAnsi="Tahoma" w:cs="Tahoma"/>
      <w:sz w:val="16"/>
      <w:szCs w:val="16"/>
    </w:rPr>
  </w:style>
  <w:style w:type="paragraph" w:styleId="ListParagraph">
    <w:name w:val="List Paragraph"/>
    <w:basedOn w:val="Normal"/>
    <w:uiPriority w:val="34"/>
    <w:qFormat/>
    <w:rsid w:val="00EB768E"/>
    <w:pPr>
      <w:ind w:left="720"/>
      <w:contextualSpacing/>
    </w:pPr>
    <w:rPr>
      <w:rFonts w:eastAsiaTheme="minorEastAsia"/>
      <w:lang w:val="el-GR" w:eastAsia="zh-CN"/>
    </w:rPr>
  </w:style>
  <w:style w:type="paragraph" w:styleId="Header">
    <w:name w:val="header"/>
    <w:basedOn w:val="Normal"/>
    <w:link w:val="HeaderChar"/>
    <w:uiPriority w:val="99"/>
    <w:unhideWhenUsed/>
    <w:rsid w:val="00AF4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654"/>
  </w:style>
  <w:style w:type="paragraph" w:styleId="Footer">
    <w:name w:val="footer"/>
    <w:basedOn w:val="Normal"/>
    <w:link w:val="FooterChar"/>
    <w:uiPriority w:val="99"/>
    <w:unhideWhenUsed/>
    <w:rsid w:val="00AF4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654"/>
  </w:style>
  <w:style w:type="table" w:styleId="TableGrid">
    <w:name w:val="Table Grid"/>
    <w:basedOn w:val="TableNormal"/>
    <w:uiPriority w:val="39"/>
    <w:rsid w:val="00DB6AC3"/>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732</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2019-05-16T07:51:00Z</cp:lastPrinted>
  <dcterms:created xsi:type="dcterms:W3CDTF">2020-12-21T10:13:00Z</dcterms:created>
  <dcterms:modified xsi:type="dcterms:W3CDTF">2020-12-30T16:31:00Z</dcterms:modified>
</cp:coreProperties>
</file>